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AE" w:rsidRPr="00245417" w:rsidRDefault="00933F27" w:rsidP="005673BB">
      <w:pPr>
        <w:keepNext/>
        <w:spacing w:after="0" w:line="360" w:lineRule="exact"/>
        <w:jc w:val="center"/>
        <w:outlineLvl w:val="0"/>
        <w:rPr>
          <w:rFonts w:ascii="Arial" w:eastAsiaTheme="majorEastAsia" w:hAnsi="Arial" w:cs="Arial"/>
          <w:b/>
          <w:bCs/>
          <w:color w:val="C00000"/>
          <w:kern w:val="32"/>
          <w:szCs w:val="32"/>
          <w:lang w:eastAsia="de-DE"/>
        </w:rPr>
      </w:pPr>
      <w:r w:rsidRPr="002C2ADD">
        <w:rPr>
          <w:rFonts w:eastAsia="Times New Roman" w:cs="Times New Roman"/>
          <w:b/>
          <w:bCs/>
          <w:color w:val="B00303"/>
          <w:sz w:val="24"/>
          <w:szCs w:val="24"/>
          <w:lang w:eastAsia="de-DE"/>
        </w:rPr>
        <w:tab/>
      </w:r>
      <w:r w:rsidR="007C5A2D" w:rsidRPr="00245417">
        <w:rPr>
          <w:rFonts w:ascii="Arial" w:eastAsiaTheme="majorEastAsia" w:hAnsi="Arial" w:cs="Arial"/>
          <w:b/>
          <w:bCs/>
          <w:color w:val="C00000"/>
          <w:kern w:val="32"/>
          <w:szCs w:val="32"/>
          <w:lang w:eastAsia="de-DE"/>
        </w:rPr>
        <w:t>Förderung der Beratung in der Landwirtschaft</w:t>
      </w:r>
      <w:r w:rsidR="00C864F7">
        <w:rPr>
          <w:rFonts w:ascii="Arial" w:eastAsiaTheme="majorEastAsia" w:hAnsi="Arial" w:cs="Arial"/>
          <w:b/>
          <w:bCs/>
          <w:color w:val="C00000"/>
          <w:kern w:val="32"/>
          <w:szCs w:val="32"/>
          <w:lang w:eastAsia="de-DE"/>
        </w:rPr>
        <w:t>:</w:t>
      </w:r>
      <w:r w:rsidR="002500AE" w:rsidRPr="00245417">
        <w:rPr>
          <w:rFonts w:ascii="Arial" w:eastAsiaTheme="majorEastAsia" w:hAnsi="Arial" w:cs="Arial"/>
          <w:b/>
          <w:bCs/>
          <w:color w:val="C00000"/>
          <w:kern w:val="32"/>
          <w:szCs w:val="32"/>
          <w:lang w:eastAsia="de-DE"/>
        </w:rPr>
        <w:t xml:space="preserve">  </w:t>
      </w:r>
    </w:p>
    <w:p w:rsidR="00933F27" w:rsidRPr="002500AE" w:rsidRDefault="00933F27" w:rsidP="005673BB">
      <w:pPr>
        <w:keepNext/>
        <w:spacing w:after="0" w:line="360" w:lineRule="exact"/>
        <w:jc w:val="center"/>
        <w:outlineLvl w:val="0"/>
        <w:rPr>
          <w:rFonts w:ascii="Arial" w:eastAsiaTheme="majorEastAsia" w:hAnsi="Arial" w:cs="Arial"/>
          <w:b/>
          <w:bCs/>
          <w:kern w:val="32"/>
          <w:sz w:val="32"/>
          <w:szCs w:val="32"/>
          <w:lang w:eastAsia="de-DE"/>
        </w:rPr>
      </w:pPr>
      <w:r w:rsidRPr="00245417">
        <w:rPr>
          <w:rFonts w:ascii="Arial" w:eastAsiaTheme="majorEastAsia" w:hAnsi="Arial" w:cs="Arial"/>
          <w:b/>
          <w:bCs/>
          <w:color w:val="C00000"/>
          <w:kern w:val="32"/>
          <w:szCs w:val="32"/>
          <w:lang w:eastAsia="de-DE"/>
        </w:rPr>
        <w:t>Antrag</w:t>
      </w:r>
      <w:r w:rsidR="00576600" w:rsidRPr="00245417">
        <w:rPr>
          <w:rFonts w:ascii="Arial" w:eastAsiaTheme="majorEastAsia" w:hAnsi="Arial" w:cs="Arial"/>
          <w:b/>
          <w:bCs/>
          <w:color w:val="C00000"/>
          <w:kern w:val="32"/>
          <w:szCs w:val="32"/>
          <w:lang w:eastAsia="de-DE"/>
        </w:rPr>
        <w:t xml:space="preserve">, </w:t>
      </w:r>
      <w:r w:rsidR="00C864F7" w:rsidRPr="00245417">
        <w:rPr>
          <w:rFonts w:ascii="Arial" w:eastAsiaTheme="majorEastAsia" w:hAnsi="Arial" w:cs="Arial"/>
          <w:b/>
          <w:bCs/>
          <w:color w:val="C00000"/>
          <w:kern w:val="32"/>
          <w:szCs w:val="32"/>
          <w:lang w:eastAsia="de-DE"/>
        </w:rPr>
        <w:t>Verwendungsnachweis</w:t>
      </w:r>
      <w:r w:rsidR="00C864F7">
        <w:rPr>
          <w:rFonts w:ascii="Arial" w:eastAsiaTheme="majorEastAsia" w:hAnsi="Arial" w:cs="Arial"/>
          <w:b/>
          <w:bCs/>
          <w:color w:val="C00000"/>
          <w:kern w:val="32"/>
          <w:szCs w:val="32"/>
          <w:lang w:eastAsia="de-DE"/>
        </w:rPr>
        <w:t>,</w:t>
      </w:r>
      <w:r w:rsidR="00F86090">
        <w:rPr>
          <w:rFonts w:ascii="Arial" w:eastAsiaTheme="majorEastAsia" w:hAnsi="Arial" w:cs="Arial"/>
          <w:b/>
          <w:bCs/>
          <w:color w:val="C00000"/>
          <w:kern w:val="32"/>
          <w:szCs w:val="32"/>
          <w:lang w:eastAsia="de-DE"/>
        </w:rPr>
        <w:t xml:space="preserve"> </w:t>
      </w:r>
      <w:r w:rsidR="00576600" w:rsidRPr="00245417">
        <w:rPr>
          <w:rFonts w:ascii="Arial" w:eastAsiaTheme="majorEastAsia" w:hAnsi="Arial" w:cs="Arial"/>
          <w:b/>
          <w:bCs/>
          <w:color w:val="C00000"/>
          <w:kern w:val="32"/>
          <w:szCs w:val="32"/>
          <w:lang w:eastAsia="de-DE"/>
        </w:rPr>
        <w:t>Bewilligung</w:t>
      </w:r>
      <w:r w:rsidR="00C864F7">
        <w:rPr>
          <w:rFonts w:ascii="Arial" w:eastAsiaTheme="majorEastAsia" w:hAnsi="Arial" w:cs="Arial"/>
          <w:b/>
          <w:bCs/>
          <w:color w:val="C00000"/>
          <w:kern w:val="32"/>
          <w:szCs w:val="32"/>
          <w:lang w:eastAsia="de-DE"/>
        </w:rPr>
        <w:t xml:space="preserve"> und</w:t>
      </w:r>
      <w:r w:rsidRPr="00245417">
        <w:rPr>
          <w:rFonts w:ascii="Arial" w:eastAsiaTheme="majorEastAsia" w:hAnsi="Arial" w:cs="Arial"/>
          <w:b/>
          <w:bCs/>
          <w:color w:val="C00000"/>
          <w:kern w:val="32"/>
          <w:szCs w:val="32"/>
          <w:lang w:eastAsia="de-DE"/>
        </w:rPr>
        <w:t xml:space="preserve"> </w:t>
      </w:r>
      <w:r w:rsidR="00C864F7">
        <w:rPr>
          <w:rFonts w:ascii="Arial" w:eastAsiaTheme="majorEastAsia" w:hAnsi="Arial" w:cs="Arial"/>
          <w:b/>
          <w:bCs/>
          <w:color w:val="C00000"/>
          <w:kern w:val="32"/>
          <w:szCs w:val="32"/>
          <w:lang w:eastAsia="de-DE"/>
        </w:rPr>
        <w:t>Auszahlung</w:t>
      </w:r>
    </w:p>
    <w:p w:rsidR="00933F27" w:rsidRPr="002500AE" w:rsidRDefault="00933F27" w:rsidP="005673BB">
      <w:pPr>
        <w:keepNext/>
        <w:spacing w:after="0" w:line="360" w:lineRule="exact"/>
        <w:jc w:val="center"/>
        <w:outlineLvl w:val="0"/>
        <w:rPr>
          <w:rFonts w:ascii="Arial" w:eastAsiaTheme="majorEastAsia" w:hAnsi="Arial" w:cs="Arial"/>
          <w:b/>
          <w:bCs/>
          <w:kern w:val="32"/>
          <w:u w:val="single"/>
          <w:lang w:eastAsia="de-DE"/>
        </w:rPr>
      </w:pPr>
    </w:p>
    <w:p w:rsidR="00671441" w:rsidRDefault="00671441" w:rsidP="002500AE">
      <w:pPr>
        <w:pStyle w:val="Listenabsatz"/>
        <w:numPr>
          <w:ilvl w:val="0"/>
          <w:numId w:val="6"/>
        </w:numPr>
        <w:spacing w:before="240" w:after="60"/>
        <w:ind w:left="1066" w:hanging="357"/>
        <w:jc w:val="both"/>
        <w:rPr>
          <w:rFonts w:eastAsia="Times New Roman" w:cs="Times New Roman"/>
          <w:b/>
          <w:bCs/>
          <w:u w:val="single"/>
          <w:lang w:eastAsia="de-DE"/>
        </w:rPr>
      </w:pPr>
      <w:r>
        <w:rPr>
          <w:rFonts w:eastAsia="Times New Roman" w:cs="Times New Roman"/>
          <w:b/>
          <w:bCs/>
          <w:u w:val="single"/>
          <w:lang w:eastAsia="de-DE"/>
        </w:rPr>
        <w:t>Allgemeines</w:t>
      </w:r>
    </w:p>
    <w:p w:rsidR="001A442B" w:rsidRPr="00E13E09" w:rsidRDefault="00942897" w:rsidP="004348DC">
      <w:pPr>
        <w:spacing w:before="240" w:after="60" w:line="360" w:lineRule="auto"/>
        <w:ind w:left="708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t>Mit der Förderung der Beratung in der Landwirtschaft soll die Wettbewerbsfähigkeit und Nachhaltigkeit der rheinland-pfälzischen Unternehmen der landwi</w:t>
      </w:r>
      <w:r w:rsidR="00D61902" w:rsidRPr="00E13E09">
        <w:rPr>
          <w:rFonts w:eastAsia="Times New Roman" w:cs="Times New Roman"/>
          <w:bCs/>
          <w:lang w:eastAsia="de-DE"/>
        </w:rPr>
        <w:t xml:space="preserve">rtschaftlichen Primärproduktion </w:t>
      </w:r>
      <w:r w:rsidRPr="00E13E09">
        <w:rPr>
          <w:rFonts w:eastAsia="Times New Roman" w:cs="Times New Roman"/>
          <w:bCs/>
          <w:lang w:eastAsia="de-DE"/>
        </w:rPr>
        <w:t>gestärkt werden. Dadurch soll ein Beitrag zur Stärkung des sozioökonomischen Gefüges in den rheinland-pfälzischen ländlichen Gebieten, zur Ernährungssicherheit sowie zur Erreichung der umwelt- und klimabezogenen Ziele der Europäischen Union geleistet werden</w:t>
      </w:r>
      <w:r w:rsidR="001A442B" w:rsidRPr="00E13E09">
        <w:rPr>
          <w:rFonts w:eastAsia="Times New Roman" w:cs="Times New Roman"/>
          <w:bCs/>
          <w:lang w:eastAsia="de-DE"/>
        </w:rPr>
        <w:t>.</w:t>
      </w:r>
    </w:p>
    <w:p w:rsidR="00B13763" w:rsidRPr="00E13E09" w:rsidRDefault="00116B2E" w:rsidP="009535F5">
      <w:pPr>
        <w:spacing w:before="240" w:after="60" w:line="360" w:lineRule="auto"/>
        <w:ind w:left="708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t xml:space="preserve">Die Förderung der Beratung in der Landwirtschaft richtet sich nach der Verwaltungsvorschrift </w:t>
      </w:r>
      <w:r w:rsidR="00CC4647" w:rsidRPr="00E13E09">
        <w:rPr>
          <w:rFonts w:eastAsia="Times New Roman" w:cs="Times New Roman"/>
          <w:bCs/>
          <w:lang w:eastAsia="de-DE"/>
        </w:rPr>
        <w:t xml:space="preserve">(VV) </w:t>
      </w:r>
      <w:r w:rsidRPr="00E13E09">
        <w:rPr>
          <w:rFonts w:eastAsia="Times New Roman" w:cs="Times New Roman"/>
          <w:bCs/>
          <w:lang w:eastAsia="de-DE"/>
        </w:rPr>
        <w:t xml:space="preserve">„Förderung der Beratung in der Landwirtschaft“ des Ministeriums für Wirtschaft, Verkehr, Landwirtschaft und Weinbau vom </w:t>
      </w:r>
      <w:r w:rsidR="00B13763" w:rsidRPr="00E13E09">
        <w:rPr>
          <w:rFonts w:eastAsia="Times New Roman" w:cs="Times New Roman"/>
          <w:bCs/>
          <w:lang w:eastAsia="de-DE"/>
        </w:rPr>
        <w:t>12.März 2024 (8506) und der in Nr. 1.2 der VV aufgeführten weiteren Rechtgrundlagen.</w:t>
      </w:r>
    </w:p>
    <w:p w:rsidR="009535F5" w:rsidRPr="00E13E09" w:rsidRDefault="009535F5" w:rsidP="009535F5">
      <w:pPr>
        <w:spacing w:before="240" w:after="60" w:line="360" w:lineRule="auto"/>
        <w:ind w:left="708"/>
        <w:jc w:val="both"/>
        <w:rPr>
          <w:rFonts w:eastAsia="Times New Roman" w:cs="Times New Roman"/>
          <w:b/>
          <w:bCs/>
          <w:lang w:eastAsia="de-DE"/>
        </w:rPr>
      </w:pPr>
      <w:r w:rsidRPr="00E13E09">
        <w:rPr>
          <w:rFonts w:eastAsia="Times New Roman" w:cs="Times New Roman"/>
          <w:b/>
          <w:bCs/>
          <w:lang w:eastAsia="de-DE"/>
        </w:rPr>
        <w:t xml:space="preserve">Diese Verwaltungsvorschrift ist zwingend in allen Punkten zu beachten. </w:t>
      </w:r>
    </w:p>
    <w:p w:rsidR="00671441" w:rsidRPr="00E13E09" w:rsidRDefault="001215A1" w:rsidP="003F5F64">
      <w:pPr>
        <w:pStyle w:val="Listenabsatz"/>
        <w:numPr>
          <w:ilvl w:val="0"/>
          <w:numId w:val="5"/>
        </w:numPr>
        <w:spacing w:before="240" w:after="60" w:line="360" w:lineRule="exact"/>
        <w:ind w:left="1066" w:hanging="357"/>
        <w:jc w:val="both"/>
      </w:pPr>
      <w:r w:rsidRPr="00E13E09">
        <w:t>Das bedeutet,</w:t>
      </w:r>
      <w:r w:rsidR="003F5F64" w:rsidRPr="00E13E09">
        <w:rPr>
          <w:b/>
        </w:rPr>
        <w:t xml:space="preserve"> </w:t>
      </w:r>
      <w:r w:rsidR="00D61902" w:rsidRPr="00E13E09">
        <w:t xml:space="preserve">dass </w:t>
      </w:r>
      <w:r w:rsidR="003F5F64" w:rsidRPr="00E13E09">
        <w:t>finanzielle Zuwendung</w:t>
      </w:r>
      <w:r w:rsidR="00671441" w:rsidRPr="00E13E09">
        <w:t xml:space="preserve"> nur </w:t>
      </w:r>
      <w:r w:rsidR="001A442B" w:rsidRPr="00E13E09">
        <w:t>Beratungsanbieter</w:t>
      </w:r>
      <w:r w:rsidR="003F5F64" w:rsidRPr="00E13E09">
        <w:t xml:space="preserve"> erhalten</w:t>
      </w:r>
      <w:r w:rsidR="00D61902" w:rsidRPr="00E13E09">
        <w:t xml:space="preserve"> können</w:t>
      </w:r>
      <w:r w:rsidR="00671441" w:rsidRPr="00E13E09">
        <w:t xml:space="preserve">, die </w:t>
      </w:r>
      <w:r w:rsidR="00B13763" w:rsidRPr="00E13E09">
        <w:t>nach Ziffer 7</w:t>
      </w:r>
      <w:r w:rsidR="007D00C1" w:rsidRPr="00E13E09">
        <w:t>.1</w:t>
      </w:r>
      <w:r w:rsidR="001A442B" w:rsidRPr="00E13E09">
        <w:t xml:space="preserve"> der </w:t>
      </w:r>
      <w:r w:rsidR="00CC4647" w:rsidRPr="00E13E09">
        <w:t xml:space="preserve">o. g. </w:t>
      </w:r>
      <w:r w:rsidR="001A442B" w:rsidRPr="00E13E09">
        <w:t>Ver</w:t>
      </w:r>
      <w:r w:rsidR="00AA52F2" w:rsidRPr="00E13E09">
        <w:t>waltungsvorschrift als Beratung</w:t>
      </w:r>
      <w:r w:rsidR="00B015D2" w:rsidRPr="00E13E09">
        <w:t>sanbieter durch die Aufsichts- und Dienstleistungsdirektion</w:t>
      </w:r>
      <w:r w:rsidR="00A50CFB" w:rsidRPr="00E13E09">
        <w:t xml:space="preserve"> (ADD)</w:t>
      </w:r>
      <w:r w:rsidR="00B015D2" w:rsidRPr="00E13E09">
        <w:t xml:space="preserve"> </w:t>
      </w:r>
      <w:r w:rsidR="00A50CFB" w:rsidRPr="00E13E09">
        <w:t xml:space="preserve">als Bewilligungsbehörde </w:t>
      </w:r>
      <w:r w:rsidR="00B015D2" w:rsidRPr="00E13E09">
        <w:rPr>
          <w:u w:val="single"/>
        </w:rPr>
        <w:t xml:space="preserve">anerkannt </w:t>
      </w:r>
      <w:r w:rsidR="00B015D2" w:rsidRPr="00E13E09">
        <w:t>wurden.</w:t>
      </w:r>
    </w:p>
    <w:p w:rsidR="00116B2E" w:rsidRPr="00E13E09" w:rsidRDefault="00D61902" w:rsidP="003F5F64">
      <w:pPr>
        <w:pStyle w:val="Listenabsatz"/>
        <w:numPr>
          <w:ilvl w:val="0"/>
          <w:numId w:val="5"/>
        </w:numPr>
        <w:spacing w:before="240" w:after="60" w:line="360" w:lineRule="exact"/>
        <w:ind w:left="1066" w:hanging="357"/>
        <w:jc w:val="both"/>
      </w:pPr>
      <w:r w:rsidRPr="00E13E09">
        <w:t>Die f</w:t>
      </w:r>
      <w:r w:rsidR="00116B2E" w:rsidRPr="00E13E09">
        <w:t>inanzielle Zuwendung kann</w:t>
      </w:r>
      <w:r w:rsidR="00B13763" w:rsidRPr="00E13E09">
        <w:t xml:space="preserve"> nur für nach Ziffer 7</w:t>
      </w:r>
      <w:r w:rsidR="007D00C1" w:rsidRPr="00E13E09">
        <w:t>.1</w:t>
      </w:r>
      <w:r w:rsidR="00116B2E" w:rsidRPr="00E13E09">
        <w:t xml:space="preserve"> der o. g. Verwaltungsvorschrift genehmigte Beratungsdienstleistungen gewährt werden. </w:t>
      </w:r>
    </w:p>
    <w:p w:rsidR="00B015D2" w:rsidRPr="00E13E09" w:rsidRDefault="00671441" w:rsidP="003F5F64">
      <w:pPr>
        <w:pStyle w:val="Listenabsatz"/>
        <w:numPr>
          <w:ilvl w:val="0"/>
          <w:numId w:val="5"/>
        </w:numPr>
        <w:spacing w:before="240" w:after="60" w:line="360" w:lineRule="exact"/>
        <w:ind w:left="1066" w:hanging="357"/>
        <w:jc w:val="both"/>
      </w:pPr>
      <w:r w:rsidRPr="00E13E09">
        <w:t>Zuwendung</w:t>
      </w:r>
      <w:r w:rsidR="00D61902" w:rsidRPr="00E13E09">
        <w:t>en können</w:t>
      </w:r>
      <w:r w:rsidRPr="00E13E09">
        <w:t xml:space="preserve"> maximal bis zu </w:t>
      </w:r>
      <w:r w:rsidR="00B015D2" w:rsidRPr="00E13E09">
        <w:t xml:space="preserve">der mit dem Zuweisungsschreiben </w:t>
      </w:r>
      <w:r w:rsidRPr="00E13E09">
        <w:t xml:space="preserve">pro </w:t>
      </w:r>
      <w:r w:rsidR="00B015D2" w:rsidRPr="00E13E09">
        <w:t>Berat</w:t>
      </w:r>
      <w:r w:rsidR="00116B2E" w:rsidRPr="00E13E09">
        <w:t>ungsanbieter zugewiesenen Z</w:t>
      </w:r>
      <w:r w:rsidR="00B015D2" w:rsidRPr="00E13E09">
        <w:t>uwendungssumme abgerufen werden</w:t>
      </w:r>
      <w:r w:rsidRPr="00E13E09">
        <w:t xml:space="preserve">. </w:t>
      </w:r>
    </w:p>
    <w:p w:rsidR="003E43B2" w:rsidRPr="00E13E09" w:rsidRDefault="00671441" w:rsidP="003E43B2">
      <w:pPr>
        <w:pStyle w:val="Listenabsatz"/>
        <w:spacing w:before="240" w:after="60" w:line="360" w:lineRule="exact"/>
        <w:ind w:left="1066"/>
        <w:jc w:val="both"/>
      </w:pPr>
      <w:r w:rsidRPr="00E13E09">
        <w:t xml:space="preserve">Sie wird </w:t>
      </w:r>
      <w:r w:rsidR="00193261" w:rsidRPr="00E13E09">
        <w:t xml:space="preserve">nach Ziffer </w:t>
      </w:r>
      <w:r w:rsidR="007D00C1" w:rsidRPr="00E13E09">
        <w:t xml:space="preserve">5.3.3 </w:t>
      </w:r>
      <w:r w:rsidR="00193261" w:rsidRPr="00E13E09">
        <w:t xml:space="preserve">der o. g. VV </w:t>
      </w:r>
      <w:r w:rsidRPr="00E13E09">
        <w:t xml:space="preserve">im Rahmen </w:t>
      </w:r>
      <w:r w:rsidR="00C91FB7" w:rsidRPr="00E13E09">
        <w:t xml:space="preserve">der verfügbaren Haushaltsmittel im </w:t>
      </w:r>
      <w:r w:rsidR="00193261" w:rsidRPr="00E13E09">
        <w:t>Wege</w:t>
      </w:r>
      <w:r w:rsidR="00C91FB7" w:rsidRPr="00E13E09">
        <w:t xml:space="preserve"> </w:t>
      </w:r>
      <w:r w:rsidRPr="00E13E09">
        <w:t xml:space="preserve">der Projektförderung als Anteilsfinanzierung in Form eines nicht rückzahlbaren Zuschusses gewährt. </w:t>
      </w:r>
    </w:p>
    <w:p w:rsidR="003E43B2" w:rsidRPr="00E13E09" w:rsidRDefault="001211D5" w:rsidP="003E43B2">
      <w:pPr>
        <w:pStyle w:val="Listenabsatz"/>
        <w:numPr>
          <w:ilvl w:val="0"/>
          <w:numId w:val="14"/>
        </w:numPr>
        <w:spacing w:before="240" w:after="60" w:line="360" w:lineRule="exact"/>
        <w:jc w:val="both"/>
      </w:pPr>
      <w:r w:rsidRPr="00E13E09">
        <w:t>Grundlage für die</w:t>
      </w:r>
      <w:r w:rsidR="003E43B2" w:rsidRPr="00E13E09">
        <w:t xml:space="preserve"> Einzelzuweisung pro Beratungsanbieter </w:t>
      </w:r>
      <w:r w:rsidRPr="00E13E09">
        <w:t>ist die</w:t>
      </w:r>
      <w:r w:rsidR="003E43B2" w:rsidRPr="00E13E09">
        <w:t xml:space="preserve"> durch das Ministerium für Wirtschaft, Verkehr, Landwirtschaft und Weinbau zugewiesene Gesamtzuweisung </w:t>
      </w:r>
      <w:r w:rsidR="00E307AE" w:rsidRPr="00E13E09">
        <w:t xml:space="preserve">für das Förderverfahren </w:t>
      </w:r>
      <w:r w:rsidR="003E43B2" w:rsidRPr="00E13E09">
        <w:t>in dem jeweiligen Haushaltsjahr.</w:t>
      </w:r>
    </w:p>
    <w:p w:rsidR="00671441" w:rsidRPr="00E13E09" w:rsidRDefault="00671441" w:rsidP="003F5F64">
      <w:pPr>
        <w:pStyle w:val="Listenabsatz"/>
        <w:numPr>
          <w:ilvl w:val="0"/>
          <w:numId w:val="5"/>
        </w:numPr>
        <w:spacing w:before="240" w:after="60" w:line="360" w:lineRule="exact"/>
        <w:ind w:left="1066" w:hanging="357"/>
        <w:jc w:val="both"/>
        <w:rPr>
          <w:b/>
        </w:rPr>
      </w:pPr>
      <w:r w:rsidRPr="00E13E09">
        <w:rPr>
          <w:b/>
        </w:rPr>
        <w:t>Ein Rechtsanspruch auf die Gewährung von Zuwendungen besteht nicht.</w:t>
      </w:r>
      <w:r w:rsidR="002823B9" w:rsidRPr="00E13E09">
        <w:rPr>
          <w:b/>
        </w:rPr>
        <w:t xml:space="preserve"> (VV Nr. 1.3.3)</w:t>
      </w:r>
    </w:p>
    <w:p w:rsidR="00671441" w:rsidRPr="00E13E09" w:rsidRDefault="00671441" w:rsidP="00671441">
      <w:pPr>
        <w:pStyle w:val="Listenabsatz"/>
        <w:spacing w:before="240" w:after="60"/>
        <w:ind w:left="1066"/>
        <w:jc w:val="both"/>
        <w:rPr>
          <w:rFonts w:eastAsia="Times New Roman" w:cs="Times New Roman"/>
          <w:b/>
          <w:bCs/>
          <w:u w:val="single"/>
          <w:lang w:eastAsia="de-DE"/>
        </w:rPr>
      </w:pPr>
    </w:p>
    <w:p w:rsidR="003E43B2" w:rsidRPr="00E13E09" w:rsidRDefault="003E43B2" w:rsidP="003E43B2">
      <w:pPr>
        <w:pStyle w:val="Listenabsatz"/>
        <w:numPr>
          <w:ilvl w:val="0"/>
          <w:numId w:val="6"/>
        </w:numPr>
        <w:spacing w:before="240" w:after="60"/>
        <w:jc w:val="both"/>
        <w:rPr>
          <w:rFonts w:eastAsia="Times New Roman" w:cs="Times New Roman"/>
          <w:b/>
          <w:bCs/>
          <w:u w:val="single"/>
          <w:lang w:eastAsia="de-DE"/>
        </w:rPr>
      </w:pPr>
      <w:r w:rsidRPr="00E13E09">
        <w:rPr>
          <w:rFonts w:eastAsia="Times New Roman" w:cs="Times New Roman"/>
          <w:b/>
          <w:bCs/>
          <w:u w:val="single"/>
          <w:lang w:eastAsia="de-DE"/>
        </w:rPr>
        <w:t xml:space="preserve">Antrag auf Anerkennung als Beratungsanbieter </w:t>
      </w:r>
    </w:p>
    <w:p w:rsidR="00A15B86" w:rsidRPr="00E13E09" w:rsidRDefault="00116B2E" w:rsidP="00EB79DB">
      <w:pPr>
        <w:pStyle w:val="Listenabsatz"/>
        <w:numPr>
          <w:ilvl w:val="0"/>
          <w:numId w:val="17"/>
        </w:numPr>
        <w:spacing w:before="240" w:after="60" w:line="360" w:lineRule="auto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t xml:space="preserve">Vor Beginn der Förderperiode muss bei der </w:t>
      </w:r>
      <w:r w:rsidR="00A32E9C" w:rsidRPr="00E13E09">
        <w:rPr>
          <w:rFonts w:eastAsia="Times New Roman" w:cs="Times New Roman"/>
          <w:bCs/>
          <w:lang w:eastAsia="de-DE"/>
        </w:rPr>
        <w:t>Bewilligungsbehörde</w:t>
      </w:r>
      <w:r w:rsidR="00A32E9C" w:rsidRPr="00E13E09">
        <w:rPr>
          <w:rFonts w:ascii="Arial" w:eastAsia="Times New Roman" w:hAnsi="Arial" w:cs="Arial"/>
          <w:bCs/>
          <w:lang w:eastAsia="de-DE"/>
        </w:rPr>
        <w:t xml:space="preserve"> (</w:t>
      </w:r>
      <w:r w:rsidRPr="00E13E09">
        <w:rPr>
          <w:rFonts w:eastAsia="Times New Roman" w:cs="Times New Roman"/>
          <w:bCs/>
          <w:lang w:eastAsia="de-DE"/>
        </w:rPr>
        <w:t>ADD</w:t>
      </w:r>
      <w:r w:rsidR="00A32E9C" w:rsidRPr="00E13E09">
        <w:rPr>
          <w:rFonts w:eastAsia="Times New Roman" w:cs="Times New Roman"/>
          <w:bCs/>
          <w:lang w:eastAsia="de-DE"/>
        </w:rPr>
        <w:t>)</w:t>
      </w:r>
      <w:r w:rsidRPr="00E13E09">
        <w:rPr>
          <w:rFonts w:eastAsia="Times New Roman" w:cs="Times New Roman"/>
          <w:bCs/>
          <w:lang w:eastAsia="de-DE"/>
        </w:rPr>
        <w:t xml:space="preserve"> nach Ziffer</w:t>
      </w:r>
      <w:r w:rsidR="00950E7D" w:rsidRPr="00E13E09">
        <w:rPr>
          <w:rFonts w:eastAsia="Times New Roman" w:cs="Times New Roman"/>
          <w:bCs/>
          <w:lang w:eastAsia="de-DE"/>
        </w:rPr>
        <w:t xml:space="preserve"> </w:t>
      </w:r>
      <w:r w:rsidR="007D00C1" w:rsidRPr="00E13E09">
        <w:rPr>
          <w:rFonts w:eastAsia="Times New Roman" w:cs="Times New Roman"/>
          <w:bCs/>
          <w:lang w:eastAsia="de-DE"/>
        </w:rPr>
        <w:t>4.1</w:t>
      </w:r>
      <w:r w:rsidR="00950E7D" w:rsidRPr="00E13E09">
        <w:rPr>
          <w:rFonts w:eastAsia="Times New Roman" w:cs="Times New Roman"/>
          <w:bCs/>
          <w:lang w:eastAsia="de-DE"/>
        </w:rPr>
        <w:t xml:space="preserve"> der </w:t>
      </w:r>
      <w:r w:rsidR="004C4A5E" w:rsidRPr="00E13E09">
        <w:rPr>
          <w:rFonts w:eastAsia="Times New Roman" w:cs="Times New Roman"/>
          <w:bCs/>
          <w:lang w:eastAsia="de-DE"/>
        </w:rPr>
        <w:t xml:space="preserve">o. g. </w:t>
      </w:r>
      <w:r w:rsidR="00950E7D" w:rsidRPr="00E13E09">
        <w:rPr>
          <w:rFonts w:eastAsia="Times New Roman" w:cs="Times New Roman"/>
          <w:bCs/>
          <w:lang w:eastAsia="de-DE"/>
        </w:rPr>
        <w:t>VV ein Antrag auf Anerkennung als Beratungsanbieter gestellt werden.</w:t>
      </w:r>
    </w:p>
    <w:p w:rsidR="00950E7D" w:rsidRPr="00E13E09" w:rsidRDefault="00950E7D" w:rsidP="00A15B86">
      <w:pPr>
        <w:rPr>
          <w:lang w:eastAsia="de-DE"/>
        </w:rPr>
      </w:pPr>
    </w:p>
    <w:p w:rsidR="00FA65C1" w:rsidRPr="00E13E09" w:rsidRDefault="00FA65C1" w:rsidP="00FA65C1">
      <w:pPr>
        <w:pStyle w:val="Listenabsatz"/>
        <w:spacing w:before="240" w:after="60" w:line="360" w:lineRule="auto"/>
        <w:ind w:left="1069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t>Grundsätzlich ist die Antragstellung</w:t>
      </w:r>
      <w:r w:rsidR="00D61902" w:rsidRPr="00E13E09">
        <w:rPr>
          <w:rFonts w:eastAsia="Times New Roman" w:cs="Times New Roman"/>
          <w:bCs/>
          <w:lang w:eastAsia="de-DE"/>
        </w:rPr>
        <w:t xml:space="preserve"> auf Anerkennung als Beratungsanbieter</w:t>
      </w:r>
      <w:r w:rsidRPr="00E13E09">
        <w:rPr>
          <w:rFonts w:eastAsia="Times New Roman" w:cs="Times New Roman"/>
          <w:bCs/>
          <w:lang w:eastAsia="de-DE"/>
        </w:rPr>
        <w:t xml:space="preserve"> ganzjährig möglich, bei gleichzeitigem Einreichen von Anträgen auf Genehmigung von Beratungsdienstleistungen ist der Antrag bzw. der Folgeantrag bis </w:t>
      </w:r>
      <w:r w:rsidR="005703A5" w:rsidRPr="00E13E09">
        <w:rPr>
          <w:rFonts w:eastAsia="Times New Roman" w:cs="Times New Roman"/>
          <w:bCs/>
          <w:lang w:eastAsia="de-DE"/>
        </w:rPr>
        <w:t>zum</w:t>
      </w:r>
      <w:r w:rsidRPr="00E13E09">
        <w:rPr>
          <w:rFonts w:eastAsia="Times New Roman" w:cs="Times New Roman"/>
          <w:b/>
          <w:bCs/>
          <w:lang w:eastAsia="de-DE"/>
        </w:rPr>
        <w:t xml:space="preserve"> 01.10.</w:t>
      </w:r>
      <w:r w:rsidRPr="00E13E09">
        <w:rPr>
          <w:rFonts w:eastAsia="Times New Roman" w:cs="Times New Roman"/>
          <w:bCs/>
          <w:lang w:eastAsia="de-DE"/>
        </w:rPr>
        <w:t xml:space="preserve"> des vor dem Förderzeitraum liegenden Jahres bei der ADD vorzulegen.</w:t>
      </w:r>
    </w:p>
    <w:p w:rsidR="00753BB9" w:rsidRPr="00E13E09" w:rsidRDefault="00753BB9" w:rsidP="00753BB9">
      <w:pPr>
        <w:pStyle w:val="Listenabsatz"/>
        <w:numPr>
          <w:ilvl w:val="0"/>
          <w:numId w:val="17"/>
        </w:numPr>
        <w:spacing w:before="240" w:after="60" w:line="360" w:lineRule="auto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t>Der Antrag auf Anerkennung</w:t>
      </w:r>
      <w:r w:rsidR="001211D5" w:rsidRPr="00E13E09">
        <w:rPr>
          <w:rFonts w:eastAsia="Times New Roman" w:cs="Times New Roman"/>
          <w:bCs/>
          <w:lang w:eastAsia="de-DE"/>
        </w:rPr>
        <w:t xml:space="preserve"> muss schriftlich erfolgen. Das Formular </w:t>
      </w:r>
      <w:r w:rsidR="005E03B4" w:rsidRPr="00E13E09">
        <w:rPr>
          <w:rFonts w:eastAsia="Times New Roman" w:cs="Times New Roman"/>
          <w:bCs/>
          <w:lang w:eastAsia="de-DE"/>
        </w:rPr>
        <w:t xml:space="preserve">ist </w:t>
      </w:r>
      <w:r w:rsidR="001211D5" w:rsidRPr="00E13E09">
        <w:rPr>
          <w:rFonts w:eastAsia="Times New Roman" w:cs="Times New Roman"/>
          <w:bCs/>
          <w:lang w:eastAsia="de-DE"/>
        </w:rPr>
        <w:t xml:space="preserve"> auf der H</w:t>
      </w:r>
      <w:r w:rsidRPr="00E13E09">
        <w:rPr>
          <w:rFonts w:eastAsia="Times New Roman" w:cs="Times New Roman"/>
          <w:bCs/>
          <w:lang w:eastAsia="de-DE"/>
        </w:rPr>
        <w:t xml:space="preserve">omepage der ADD unter folgendem Link </w:t>
      </w:r>
      <w:r w:rsidR="00E13E09" w:rsidRPr="00E13E09">
        <w:rPr>
          <w:rFonts w:eastAsia="Times New Roman" w:cs="Times New Roman"/>
          <w:bCs/>
          <w:lang w:eastAsia="de-DE"/>
        </w:rPr>
        <w:t>abrufbar</w:t>
      </w:r>
      <w:r w:rsidRPr="00E13E09">
        <w:rPr>
          <w:rFonts w:eastAsia="Times New Roman" w:cs="Times New Roman"/>
          <w:bCs/>
          <w:lang w:eastAsia="de-DE"/>
        </w:rPr>
        <w:t xml:space="preserve">:  </w:t>
      </w:r>
      <w:hyperlink r:id="rId8" w:history="1">
        <w:r w:rsidRPr="00E13E09">
          <w:rPr>
            <w:rStyle w:val="Hyperlink"/>
            <w:rFonts w:eastAsia="Times New Roman" w:cs="Times New Roman"/>
            <w:bCs/>
            <w:color w:val="auto"/>
            <w:lang w:eastAsia="de-DE"/>
          </w:rPr>
          <w:t>https://add.rlp.de/de/themen/foerderungen/in-der-landwirtschaft-agrarfoerderungen/beratung-in-der-landwirtschaft/</w:t>
        </w:r>
      </w:hyperlink>
    </w:p>
    <w:p w:rsidR="00787A17" w:rsidRPr="00E13E09" w:rsidRDefault="00950E7D" w:rsidP="00787A17">
      <w:pPr>
        <w:pStyle w:val="Listenabsatz"/>
        <w:numPr>
          <w:ilvl w:val="0"/>
          <w:numId w:val="17"/>
        </w:numPr>
        <w:spacing w:before="240" w:after="60" w:line="360" w:lineRule="auto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t xml:space="preserve">Bei der Antragstellung </w:t>
      </w:r>
      <w:r w:rsidR="00F10305" w:rsidRPr="00E13E09">
        <w:rPr>
          <w:rFonts w:eastAsia="Times New Roman" w:cs="Times New Roman"/>
          <w:bCs/>
          <w:lang w:eastAsia="de-DE"/>
        </w:rPr>
        <w:t xml:space="preserve">müssen die in Ziffer </w:t>
      </w:r>
      <w:r w:rsidR="00787A17" w:rsidRPr="00E13E09">
        <w:rPr>
          <w:rFonts w:eastAsia="Times New Roman" w:cs="Times New Roman"/>
          <w:bCs/>
          <w:lang w:eastAsia="de-DE"/>
        </w:rPr>
        <w:t>1 der Anlage „Anforderungen für die Anerkennung von Beratungsanbietern und Beratungsdienstleistungen in der Förderung der privaten Beratung in der Landwirtschaft“ zu Ziffer</w:t>
      </w:r>
      <w:r w:rsidR="007D00C1" w:rsidRPr="00E13E09">
        <w:rPr>
          <w:rFonts w:eastAsia="Times New Roman" w:cs="Times New Roman"/>
          <w:bCs/>
          <w:lang w:eastAsia="de-DE"/>
        </w:rPr>
        <w:t>n 4.1, 4.2.1 und 7.1</w:t>
      </w:r>
      <w:r w:rsidR="00787A17" w:rsidRPr="00E13E09">
        <w:rPr>
          <w:rFonts w:eastAsia="Times New Roman" w:cs="Times New Roman"/>
          <w:bCs/>
          <w:lang w:eastAsia="de-DE"/>
        </w:rPr>
        <w:t xml:space="preserve"> </w:t>
      </w:r>
      <w:r w:rsidR="007908AD" w:rsidRPr="00E13E09">
        <w:rPr>
          <w:rFonts w:eastAsia="Times New Roman" w:cs="Times New Roman"/>
          <w:bCs/>
          <w:lang w:eastAsia="de-DE"/>
        </w:rPr>
        <w:t xml:space="preserve">der VV </w:t>
      </w:r>
      <w:r w:rsidR="00787A17" w:rsidRPr="00E13E09">
        <w:rPr>
          <w:rFonts w:eastAsia="Times New Roman" w:cs="Times New Roman"/>
          <w:bCs/>
          <w:lang w:eastAsia="de-DE"/>
        </w:rPr>
        <w:t xml:space="preserve">aufgeführten Voraussetzungen zur Anerkennung </w:t>
      </w:r>
      <w:r w:rsidR="00A32E9C" w:rsidRPr="00E13E09">
        <w:rPr>
          <w:rFonts w:eastAsia="Times New Roman" w:cs="Times New Roman"/>
          <w:bCs/>
          <w:lang w:eastAsia="de-DE"/>
        </w:rPr>
        <w:t xml:space="preserve">als Beratungsanbieter und als Berater </w:t>
      </w:r>
      <w:r w:rsidR="004C4A5E" w:rsidRPr="00E13E09">
        <w:rPr>
          <w:rFonts w:eastAsia="Times New Roman" w:cs="Times New Roman"/>
          <w:bCs/>
          <w:lang w:eastAsia="de-DE"/>
        </w:rPr>
        <w:t xml:space="preserve">zwingend </w:t>
      </w:r>
      <w:r w:rsidR="00787A17" w:rsidRPr="00E13E09">
        <w:rPr>
          <w:rFonts w:eastAsia="Times New Roman" w:cs="Times New Roman"/>
          <w:bCs/>
          <w:lang w:eastAsia="de-DE"/>
        </w:rPr>
        <w:t xml:space="preserve">beachtet werden. </w:t>
      </w:r>
      <w:r w:rsidR="00EB79DB" w:rsidRPr="00E13E09">
        <w:rPr>
          <w:rFonts w:eastAsia="Times New Roman" w:cs="Times New Roman"/>
          <w:bCs/>
          <w:lang w:eastAsia="de-DE"/>
        </w:rPr>
        <w:t xml:space="preserve"> </w:t>
      </w:r>
    </w:p>
    <w:p w:rsidR="00787A17" w:rsidRPr="00E13E09" w:rsidRDefault="00787A17" w:rsidP="00787A17">
      <w:pPr>
        <w:pStyle w:val="Listenabsatz"/>
        <w:numPr>
          <w:ilvl w:val="0"/>
          <w:numId w:val="17"/>
        </w:numPr>
        <w:spacing w:before="240" w:after="60" w:line="360" w:lineRule="auto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t xml:space="preserve">Die Anerkennung als Beratungsanbieter erfolgt durch die ADD für die Dauer von </w:t>
      </w:r>
      <w:r w:rsidR="00A32E9C" w:rsidRPr="00E13E09">
        <w:rPr>
          <w:rFonts w:eastAsia="Times New Roman" w:cs="Times New Roman"/>
          <w:bCs/>
          <w:lang w:eastAsia="de-DE"/>
        </w:rPr>
        <w:t>zwei</w:t>
      </w:r>
      <w:r w:rsidRPr="00E13E09">
        <w:rPr>
          <w:rFonts w:eastAsia="Times New Roman" w:cs="Times New Roman"/>
          <w:bCs/>
          <w:lang w:eastAsia="de-DE"/>
        </w:rPr>
        <w:t xml:space="preserve"> Jahren </w:t>
      </w:r>
      <w:r w:rsidR="007D00C1" w:rsidRPr="00E13E09">
        <w:rPr>
          <w:rFonts w:eastAsia="Times New Roman" w:cs="Times New Roman"/>
          <w:bCs/>
          <w:lang w:eastAsia="de-DE"/>
        </w:rPr>
        <w:t xml:space="preserve">(VV Nr. 7.2) </w:t>
      </w:r>
      <w:r w:rsidRPr="00E13E09">
        <w:rPr>
          <w:rFonts w:eastAsia="Times New Roman" w:cs="Times New Roman"/>
          <w:bCs/>
          <w:lang w:eastAsia="de-DE"/>
        </w:rPr>
        <w:t>für die in dem Anerkennungsschreiben namentlich aufgeführten Berater. Sollten zusätzliche Berater eingesetzt werden</w:t>
      </w:r>
      <w:r w:rsidR="00EB79DB" w:rsidRPr="00E13E09">
        <w:rPr>
          <w:rFonts w:eastAsia="Times New Roman" w:cs="Times New Roman"/>
          <w:bCs/>
          <w:lang w:eastAsia="de-DE"/>
        </w:rPr>
        <w:t xml:space="preserve">, ist dies nur nach vorheriger Anerkennung durch die Bewilligungsbehörde möglich. </w:t>
      </w:r>
    </w:p>
    <w:p w:rsidR="006F02B5" w:rsidRPr="00E13E09" w:rsidRDefault="006F02B5" w:rsidP="00787A17">
      <w:pPr>
        <w:pStyle w:val="Listenabsatz"/>
        <w:numPr>
          <w:ilvl w:val="0"/>
          <w:numId w:val="17"/>
        </w:numPr>
        <w:spacing w:before="240" w:after="60" w:line="360" w:lineRule="auto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t>Nach der Anerkennung wird auf der Homepage der ADD unter o. g. Link eine Liste aller anerkannten Beratungsanbieter mit dem jeweiligen Beratungsschwerpunkt und d</w:t>
      </w:r>
      <w:r w:rsidR="00753BB9" w:rsidRPr="00E13E09">
        <w:rPr>
          <w:rFonts w:eastAsia="Times New Roman" w:cs="Times New Roman"/>
          <w:bCs/>
          <w:lang w:eastAsia="de-DE"/>
        </w:rPr>
        <w:t>e</w:t>
      </w:r>
      <w:r w:rsidRPr="00E13E09">
        <w:rPr>
          <w:rFonts w:eastAsia="Times New Roman" w:cs="Times New Roman"/>
          <w:bCs/>
          <w:lang w:eastAsia="de-DE"/>
        </w:rPr>
        <w:t xml:space="preserve">n Kontraktdaten eingestellt. </w:t>
      </w:r>
    </w:p>
    <w:p w:rsidR="00753BB9" w:rsidRPr="00E13E09" w:rsidRDefault="00753BB9" w:rsidP="00753BB9">
      <w:pPr>
        <w:pStyle w:val="Listenabsatz"/>
        <w:spacing w:before="240" w:after="60" w:line="360" w:lineRule="auto"/>
        <w:ind w:left="1069"/>
        <w:jc w:val="both"/>
        <w:rPr>
          <w:rFonts w:eastAsia="Times New Roman" w:cs="Times New Roman"/>
          <w:bCs/>
          <w:lang w:eastAsia="de-DE"/>
        </w:rPr>
      </w:pPr>
    </w:p>
    <w:p w:rsidR="00753BB9" w:rsidRPr="00E13E09" w:rsidRDefault="00753BB9" w:rsidP="00753BB9">
      <w:pPr>
        <w:pStyle w:val="Listenabsatz"/>
        <w:numPr>
          <w:ilvl w:val="0"/>
          <w:numId w:val="6"/>
        </w:numPr>
        <w:spacing w:before="240" w:after="60" w:line="360" w:lineRule="auto"/>
        <w:jc w:val="both"/>
        <w:rPr>
          <w:rFonts w:eastAsia="Times New Roman" w:cs="Times New Roman"/>
          <w:b/>
          <w:bCs/>
          <w:u w:val="single"/>
          <w:lang w:eastAsia="de-DE"/>
        </w:rPr>
      </w:pPr>
      <w:r w:rsidRPr="00E13E09">
        <w:rPr>
          <w:rFonts w:eastAsia="Times New Roman" w:cs="Times New Roman"/>
          <w:b/>
          <w:bCs/>
          <w:u w:val="single"/>
          <w:lang w:eastAsia="de-DE"/>
        </w:rPr>
        <w:t xml:space="preserve">Antrag auf Genehmigung der </w:t>
      </w:r>
      <w:r w:rsidR="00EA3218" w:rsidRPr="00E13E09">
        <w:rPr>
          <w:rFonts w:eastAsia="Times New Roman" w:cs="Times New Roman"/>
          <w:b/>
          <w:bCs/>
          <w:u w:val="single"/>
          <w:lang w:eastAsia="de-DE"/>
        </w:rPr>
        <w:t xml:space="preserve">förderfähigen Maßnahmen </w:t>
      </w:r>
      <w:r w:rsidR="009971B4" w:rsidRPr="00E13E09">
        <w:rPr>
          <w:rFonts w:eastAsia="Times New Roman" w:cs="Times New Roman"/>
          <w:b/>
          <w:bCs/>
          <w:u w:val="single"/>
          <w:lang w:eastAsia="de-DE"/>
        </w:rPr>
        <w:t xml:space="preserve"> (=Projekte)</w:t>
      </w:r>
    </w:p>
    <w:p w:rsidR="00056677" w:rsidRPr="00E13E09" w:rsidRDefault="00753BB9" w:rsidP="00056677">
      <w:pPr>
        <w:pStyle w:val="Listenabsatz"/>
        <w:spacing w:before="240" w:after="60" w:line="360" w:lineRule="auto"/>
        <w:ind w:left="1069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t xml:space="preserve">Vor Beginn der Förderperiode muss bei der Bewilligungsbehörde (ADD) nach Ziffer </w:t>
      </w:r>
      <w:r w:rsidR="009C7BA0" w:rsidRPr="00E13E09">
        <w:rPr>
          <w:rFonts w:eastAsia="Times New Roman" w:cs="Times New Roman"/>
          <w:bCs/>
          <w:lang w:eastAsia="de-DE"/>
        </w:rPr>
        <w:t>7.1</w:t>
      </w:r>
      <w:r w:rsidRPr="00E13E09">
        <w:rPr>
          <w:rFonts w:eastAsia="Times New Roman" w:cs="Times New Roman"/>
          <w:bCs/>
          <w:lang w:eastAsia="de-DE"/>
        </w:rPr>
        <w:t xml:space="preserve"> der o. g. VV ein Antrag auf Genehmigung </w:t>
      </w:r>
      <w:r w:rsidR="00EA3218" w:rsidRPr="00E13E09">
        <w:rPr>
          <w:rFonts w:eastAsia="Times New Roman" w:cs="Times New Roman"/>
          <w:bCs/>
          <w:lang w:eastAsia="de-DE"/>
        </w:rPr>
        <w:t>förderfähiger L</w:t>
      </w:r>
      <w:r w:rsidRPr="00E13E09">
        <w:rPr>
          <w:rFonts w:eastAsia="Times New Roman" w:cs="Times New Roman"/>
          <w:bCs/>
          <w:lang w:eastAsia="de-DE"/>
        </w:rPr>
        <w:t xml:space="preserve">eistungen gestellt werden. </w:t>
      </w:r>
      <w:r w:rsidR="00056677" w:rsidRPr="00E13E09">
        <w:rPr>
          <w:rFonts w:eastAsia="Times New Roman" w:cs="Times New Roman"/>
          <w:bCs/>
          <w:lang w:eastAsia="de-DE"/>
        </w:rPr>
        <w:t xml:space="preserve">Die Anträge auf Genehmigung der Beratungsdienstleistungen sind bis zum </w:t>
      </w:r>
      <w:r w:rsidR="00056677" w:rsidRPr="00E13E09">
        <w:rPr>
          <w:rFonts w:eastAsia="Times New Roman" w:cs="Times New Roman"/>
          <w:b/>
          <w:bCs/>
          <w:lang w:eastAsia="de-DE"/>
        </w:rPr>
        <w:t>01.10</w:t>
      </w:r>
      <w:r w:rsidR="00056677" w:rsidRPr="00E13E09">
        <w:rPr>
          <w:rFonts w:eastAsia="Times New Roman" w:cs="Times New Roman"/>
          <w:bCs/>
          <w:lang w:eastAsia="de-DE"/>
        </w:rPr>
        <w:t>. des vor dem Förderzeitraum liegenden Jahres bei der ADD vorzulegen.</w:t>
      </w:r>
    </w:p>
    <w:p w:rsidR="009971B4" w:rsidRPr="00E13E09" w:rsidRDefault="009971B4" w:rsidP="009971B4">
      <w:pPr>
        <w:pStyle w:val="Listenabsatz"/>
        <w:numPr>
          <w:ilvl w:val="0"/>
          <w:numId w:val="19"/>
        </w:numPr>
        <w:spacing w:before="240" w:after="60" w:line="360" w:lineRule="auto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t>Die Förderung der Inanspruchnahme von Beratungsdienstleistungen erfolgt entsprechend Art. 22 der Verordnung (E</w:t>
      </w:r>
      <w:r w:rsidR="00976650" w:rsidRPr="00E13E09">
        <w:rPr>
          <w:rFonts w:eastAsia="Times New Roman" w:cs="Times New Roman"/>
          <w:bCs/>
          <w:lang w:eastAsia="de-DE"/>
        </w:rPr>
        <w:t>U</w:t>
      </w:r>
      <w:r w:rsidRPr="00E13E09">
        <w:rPr>
          <w:rFonts w:eastAsia="Times New Roman" w:cs="Times New Roman"/>
          <w:bCs/>
          <w:lang w:eastAsia="de-DE"/>
        </w:rPr>
        <w:t xml:space="preserve">) Nr. </w:t>
      </w:r>
      <w:r w:rsidR="00976650" w:rsidRPr="00E13E09">
        <w:rPr>
          <w:rFonts w:eastAsia="Times New Roman" w:cs="Times New Roman"/>
          <w:bCs/>
          <w:lang w:eastAsia="de-DE"/>
        </w:rPr>
        <w:t>2022/2472</w:t>
      </w:r>
      <w:r w:rsidR="005E03B4" w:rsidRPr="00E13E09">
        <w:rPr>
          <w:rFonts w:eastAsia="Times New Roman" w:cs="Times New Roman"/>
          <w:bCs/>
          <w:lang w:eastAsia="de-DE"/>
        </w:rPr>
        <w:t xml:space="preserve"> </w:t>
      </w:r>
      <w:r w:rsidR="00976650" w:rsidRPr="00E13E09">
        <w:rPr>
          <w:rFonts w:eastAsia="Times New Roman" w:cs="Times New Roman"/>
          <w:bCs/>
          <w:lang w:eastAsia="de-DE"/>
        </w:rPr>
        <w:t>der Kommission vom 14.Dezember 2022</w:t>
      </w:r>
      <w:r w:rsidRPr="00E13E09">
        <w:rPr>
          <w:rFonts w:eastAsia="Times New Roman" w:cs="Times New Roman"/>
          <w:bCs/>
          <w:lang w:eastAsia="de-DE"/>
        </w:rPr>
        <w:t xml:space="preserve"> nur in den </w:t>
      </w:r>
      <w:r w:rsidR="00FA65C1" w:rsidRPr="00E13E09">
        <w:rPr>
          <w:rFonts w:eastAsia="Times New Roman" w:cs="Times New Roman"/>
          <w:bCs/>
          <w:lang w:eastAsia="de-DE"/>
        </w:rPr>
        <w:t xml:space="preserve">dort angeführten </w:t>
      </w:r>
      <w:r w:rsidRPr="00E13E09">
        <w:rPr>
          <w:rFonts w:eastAsia="Times New Roman" w:cs="Times New Roman"/>
          <w:bCs/>
          <w:lang w:eastAsia="de-DE"/>
        </w:rPr>
        <w:t xml:space="preserve">Bereichen der Primärproduktion landwirtschaftlicher Erzeugnisse. </w:t>
      </w:r>
      <w:r w:rsidR="00976650" w:rsidRPr="00E13E09">
        <w:rPr>
          <w:rFonts w:eastAsia="Times New Roman" w:cs="Times New Roman"/>
          <w:bCs/>
          <w:lang w:eastAsia="de-DE"/>
        </w:rPr>
        <w:t xml:space="preserve">Gefördert werden </w:t>
      </w:r>
      <w:r w:rsidR="00647B09" w:rsidRPr="00E13E09">
        <w:rPr>
          <w:rFonts w:eastAsia="Times New Roman" w:cs="Times New Roman"/>
          <w:bCs/>
          <w:lang w:eastAsia="de-DE"/>
        </w:rPr>
        <w:t xml:space="preserve">können </w:t>
      </w:r>
      <w:r w:rsidR="00976650" w:rsidRPr="00E13E09">
        <w:rPr>
          <w:rFonts w:eastAsia="Times New Roman" w:cs="Times New Roman"/>
          <w:bCs/>
          <w:lang w:eastAsia="de-DE"/>
        </w:rPr>
        <w:t xml:space="preserve">Beratungen, die </w:t>
      </w:r>
      <w:r w:rsidR="00647B09" w:rsidRPr="00E13E09">
        <w:rPr>
          <w:rFonts w:eastAsia="Times New Roman" w:cs="Times New Roman"/>
          <w:bCs/>
          <w:lang w:eastAsia="de-DE"/>
        </w:rPr>
        <w:t>d</w:t>
      </w:r>
      <w:r w:rsidR="00976650" w:rsidRPr="00E13E09">
        <w:rPr>
          <w:rFonts w:eastAsia="Times New Roman" w:cs="Times New Roman"/>
          <w:bCs/>
          <w:lang w:eastAsia="de-DE"/>
        </w:rPr>
        <w:t>er Er</w:t>
      </w:r>
      <w:r w:rsidR="009C7BA0" w:rsidRPr="00E13E09">
        <w:rPr>
          <w:rFonts w:eastAsia="Times New Roman" w:cs="Times New Roman"/>
          <w:bCs/>
          <w:lang w:eastAsia="de-DE"/>
        </w:rPr>
        <w:t>reichung der spezifischen Ziele</w:t>
      </w:r>
      <w:r w:rsidR="00647B09" w:rsidRPr="00E13E09">
        <w:rPr>
          <w:rFonts w:eastAsia="Times New Roman" w:cs="Times New Roman"/>
          <w:bCs/>
          <w:lang w:eastAsia="de-DE"/>
        </w:rPr>
        <w:t xml:space="preserve"> gemäß Artikel 6 Abs. 1 der Verordnung (EU) 2021/2115 dienen. Neben dem Ziel Buchst. a muss die Beratung mindestens einem weiteren Ziel gem.</w:t>
      </w:r>
      <w:r w:rsidR="00976650" w:rsidRPr="00E13E09">
        <w:rPr>
          <w:rFonts w:eastAsia="Times New Roman" w:cs="Times New Roman"/>
          <w:bCs/>
          <w:lang w:eastAsia="de-DE"/>
        </w:rPr>
        <w:t xml:space="preserve"> d – f entsprechen.</w:t>
      </w:r>
    </w:p>
    <w:p w:rsidR="00753BB9" w:rsidRPr="00E13E09" w:rsidRDefault="00753BB9" w:rsidP="00753BB9">
      <w:pPr>
        <w:pStyle w:val="Listenabsatz"/>
        <w:numPr>
          <w:ilvl w:val="0"/>
          <w:numId w:val="19"/>
        </w:numPr>
        <w:spacing w:before="240" w:after="60" w:line="360" w:lineRule="auto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lastRenderedPageBreak/>
        <w:t xml:space="preserve">Voraussetzung zur Genehmigung der Beratungsdienstleistungen ist die Anerkennung als Beratungsanbieter durch die ADD. </w:t>
      </w:r>
    </w:p>
    <w:p w:rsidR="00753BB9" w:rsidRPr="00E13E09" w:rsidRDefault="00753BB9" w:rsidP="00753BB9">
      <w:pPr>
        <w:pStyle w:val="Listenabsatz"/>
        <w:spacing w:before="240" w:after="60" w:line="360" w:lineRule="auto"/>
        <w:ind w:left="1069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t xml:space="preserve">Sofern also noch keine Anerkennung als Beratungsanbieter erfolgt ist bzw. die Anerkennung abgelaufen ist, ist vor der </w:t>
      </w:r>
      <w:r w:rsidR="004C4A5E" w:rsidRPr="00E13E09">
        <w:rPr>
          <w:rFonts w:eastAsia="Times New Roman" w:cs="Times New Roman"/>
          <w:bCs/>
          <w:lang w:eastAsia="de-DE"/>
        </w:rPr>
        <w:t>Einreichung der Beratungsdienstleistungsanträge</w:t>
      </w:r>
      <w:r w:rsidRPr="00E13E09">
        <w:rPr>
          <w:rFonts w:eastAsia="Times New Roman" w:cs="Times New Roman"/>
          <w:bCs/>
          <w:lang w:eastAsia="de-DE"/>
        </w:rPr>
        <w:t xml:space="preserve"> ein schriftlicher Antrag bei der ADD vorzulegen (siehe Nr. 2</w:t>
      </w:r>
      <w:r w:rsidR="00FB4833" w:rsidRPr="00E13E09">
        <w:rPr>
          <w:rFonts w:eastAsia="Times New Roman" w:cs="Times New Roman"/>
          <w:bCs/>
          <w:lang w:eastAsia="de-DE"/>
        </w:rPr>
        <w:t xml:space="preserve"> dieses Infoblatts</w:t>
      </w:r>
      <w:r w:rsidRPr="00E13E09">
        <w:rPr>
          <w:rFonts w:eastAsia="Times New Roman" w:cs="Times New Roman"/>
          <w:bCs/>
          <w:lang w:eastAsia="de-DE"/>
        </w:rPr>
        <w:t>).</w:t>
      </w:r>
    </w:p>
    <w:p w:rsidR="00753BB9" w:rsidRPr="00E13E09" w:rsidRDefault="009D21C4" w:rsidP="00753BB9">
      <w:pPr>
        <w:pStyle w:val="Listenabsatz"/>
        <w:numPr>
          <w:ilvl w:val="0"/>
          <w:numId w:val="19"/>
        </w:numPr>
        <w:spacing w:before="240" w:after="60" w:line="360" w:lineRule="auto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t>Die</w:t>
      </w:r>
      <w:r w:rsidR="00753BB9" w:rsidRPr="00E13E09">
        <w:rPr>
          <w:rFonts w:eastAsia="Times New Roman" w:cs="Times New Roman"/>
          <w:bCs/>
          <w:lang w:eastAsia="de-DE"/>
        </w:rPr>
        <w:t xml:space="preserve"> Genehmigung der Beratungsdienstleistungen erfolgt </w:t>
      </w:r>
      <w:r w:rsidRPr="00E13E09">
        <w:rPr>
          <w:rFonts w:eastAsia="Times New Roman" w:cs="Times New Roman"/>
          <w:bCs/>
          <w:lang w:eastAsia="de-DE"/>
        </w:rPr>
        <w:t>nach schriftlichem</w:t>
      </w:r>
      <w:r w:rsidR="00753BB9" w:rsidRPr="00E13E09">
        <w:rPr>
          <w:rFonts w:eastAsia="Times New Roman" w:cs="Times New Roman"/>
          <w:bCs/>
          <w:lang w:eastAsia="de-DE"/>
        </w:rPr>
        <w:t xml:space="preserve"> Antrag. Ein Muster für einen solchen Antrag finden Sie ebenfalls auf der Homepage der ADD unter folgendem Link:  </w:t>
      </w:r>
      <w:hyperlink r:id="rId9" w:history="1">
        <w:r w:rsidR="00753BB9" w:rsidRPr="00E13E09">
          <w:rPr>
            <w:rStyle w:val="Hyperlink"/>
            <w:rFonts w:eastAsia="Times New Roman" w:cs="Times New Roman"/>
            <w:bCs/>
            <w:color w:val="auto"/>
            <w:lang w:eastAsia="de-DE"/>
          </w:rPr>
          <w:t>https://add.rlp.de/de/themen/foerderungen/in-der-landwirtschaft-agrarfoerderungen/beratung-in-der-landwirtschaft/</w:t>
        </w:r>
      </w:hyperlink>
    </w:p>
    <w:p w:rsidR="00753BB9" w:rsidRPr="00E13E09" w:rsidRDefault="00753BB9" w:rsidP="00753BB9">
      <w:pPr>
        <w:pStyle w:val="Listenabsatz"/>
        <w:numPr>
          <w:ilvl w:val="0"/>
          <w:numId w:val="19"/>
        </w:numPr>
        <w:spacing w:before="240" w:after="60" w:line="360" w:lineRule="auto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t xml:space="preserve">Bei der Antragstellung müssen die in Ziffer 2 der Anlage „Anforderungen für die Anerkennung von Beratungsanbietern und Beratungsdienstleistungen in der Förderung der Beratung in der Landwirtschaft“ zu Ziffer </w:t>
      </w:r>
      <w:r w:rsidR="00976650" w:rsidRPr="00E13E09">
        <w:rPr>
          <w:rFonts w:eastAsia="Times New Roman" w:cs="Times New Roman"/>
          <w:bCs/>
          <w:lang w:eastAsia="de-DE"/>
        </w:rPr>
        <w:t>4.2.1</w:t>
      </w:r>
      <w:r w:rsidRPr="00E13E09">
        <w:rPr>
          <w:rFonts w:eastAsia="Times New Roman" w:cs="Times New Roman"/>
          <w:bCs/>
          <w:lang w:eastAsia="de-DE"/>
        </w:rPr>
        <w:t xml:space="preserve"> aufgeführten Voraussetzungen an die Beratungsprojekte bzw. den Antrag auf Genehmigung der Beratungsdienstleistungen beachtet werden. </w:t>
      </w:r>
    </w:p>
    <w:p w:rsidR="00647B09" w:rsidRPr="00E13E09" w:rsidRDefault="00647B09" w:rsidP="00753BB9">
      <w:pPr>
        <w:pStyle w:val="Listenabsatz"/>
        <w:numPr>
          <w:ilvl w:val="0"/>
          <w:numId w:val="19"/>
        </w:numPr>
        <w:spacing w:before="240" w:after="60" w:line="360" w:lineRule="auto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t>Bei der Antragstellung ist außerdem zwingend anzugeben, welche</w:t>
      </w:r>
      <w:r w:rsidR="009C7BA0" w:rsidRPr="00E13E09">
        <w:rPr>
          <w:rFonts w:eastAsia="Times New Roman" w:cs="Times New Roman"/>
          <w:bCs/>
          <w:lang w:eastAsia="de-DE"/>
        </w:rPr>
        <w:t>n</w:t>
      </w:r>
      <w:r w:rsidRPr="00E13E09">
        <w:rPr>
          <w:rFonts w:eastAsia="Times New Roman" w:cs="Times New Roman"/>
          <w:bCs/>
          <w:lang w:eastAsia="de-DE"/>
        </w:rPr>
        <w:t xml:space="preserve"> Ziele</w:t>
      </w:r>
      <w:r w:rsidR="009C7BA0" w:rsidRPr="00E13E09">
        <w:rPr>
          <w:rFonts w:eastAsia="Times New Roman" w:cs="Times New Roman"/>
          <w:bCs/>
          <w:lang w:eastAsia="de-DE"/>
        </w:rPr>
        <w:t>n</w:t>
      </w:r>
      <w:r w:rsidRPr="00E13E09">
        <w:rPr>
          <w:rFonts w:eastAsia="Times New Roman" w:cs="Times New Roman"/>
          <w:bCs/>
          <w:lang w:eastAsia="de-DE"/>
        </w:rPr>
        <w:t xml:space="preserve"> gemäß Artikel 6 Abs. 1 der Verordnung (EU) 2021/2115 die Beratung</w:t>
      </w:r>
      <w:r w:rsidR="009C7BA0" w:rsidRPr="00E13E09">
        <w:rPr>
          <w:rFonts w:eastAsia="Times New Roman" w:cs="Times New Roman"/>
          <w:bCs/>
          <w:lang w:eastAsia="de-DE"/>
        </w:rPr>
        <w:t>sdienst</w:t>
      </w:r>
      <w:r w:rsidRPr="00E13E09">
        <w:rPr>
          <w:rFonts w:eastAsia="Times New Roman" w:cs="Times New Roman"/>
          <w:bCs/>
          <w:lang w:eastAsia="de-DE"/>
        </w:rPr>
        <w:t xml:space="preserve">leistung </w:t>
      </w:r>
      <w:r w:rsidR="009C7BA0" w:rsidRPr="00E13E09">
        <w:rPr>
          <w:rFonts w:eastAsia="Times New Roman" w:cs="Times New Roman"/>
          <w:bCs/>
          <w:lang w:eastAsia="de-DE"/>
        </w:rPr>
        <w:t>soll (</w:t>
      </w:r>
      <w:r w:rsidRPr="00E13E09">
        <w:rPr>
          <w:rFonts w:eastAsia="Times New Roman" w:cs="Times New Roman"/>
          <w:bCs/>
          <w:lang w:eastAsia="de-DE"/>
        </w:rPr>
        <w:t>Angabe der Buchstaben).</w:t>
      </w:r>
    </w:p>
    <w:p w:rsidR="009971B4" w:rsidRPr="00E13E09" w:rsidRDefault="009971B4" w:rsidP="00753BB9">
      <w:pPr>
        <w:pStyle w:val="Listenabsatz"/>
        <w:numPr>
          <w:ilvl w:val="0"/>
          <w:numId w:val="19"/>
        </w:numPr>
        <w:spacing w:before="240" w:after="60" w:line="360" w:lineRule="auto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t xml:space="preserve">Bei der Antragstellung ist </w:t>
      </w:r>
      <w:r w:rsidR="00647B09" w:rsidRPr="00E13E09">
        <w:rPr>
          <w:rFonts w:eastAsia="Times New Roman" w:cs="Times New Roman"/>
          <w:bCs/>
          <w:lang w:eastAsia="de-DE"/>
        </w:rPr>
        <w:t xml:space="preserve">auch </w:t>
      </w:r>
      <w:r w:rsidRPr="00E13E09">
        <w:rPr>
          <w:rFonts w:eastAsia="Times New Roman" w:cs="Times New Roman"/>
          <w:bCs/>
          <w:lang w:eastAsia="de-DE"/>
        </w:rPr>
        <w:t xml:space="preserve">insbesondere darauf zu achten, die Kennzahlen zu Beratungswirkung und die Kennzahlen zum Beratungsergebnis dezidiert aufzuführen. </w:t>
      </w:r>
    </w:p>
    <w:p w:rsidR="009971B4" w:rsidRPr="00E13E09" w:rsidRDefault="009971B4" w:rsidP="00753BB9">
      <w:pPr>
        <w:pStyle w:val="Listenabsatz"/>
        <w:numPr>
          <w:ilvl w:val="0"/>
          <w:numId w:val="19"/>
        </w:numPr>
        <w:spacing w:before="240" w:after="60" w:line="360" w:lineRule="auto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t xml:space="preserve">Die Genehmigung der Beratungsdienstleistungen erfolgt durch die ADD jeweils für die Dauer des Förderzeitraumes. </w:t>
      </w:r>
    </w:p>
    <w:p w:rsidR="004C4A5E" w:rsidRPr="00E13E09" w:rsidRDefault="009971B4" w:rsidP="004C4A5E">
      <w:pPr>
        <w:pStyle w:val="Listenabsatz"/>
        <w:spacing w:before="240" w:after="60" w:line="360" w:lineRule="auto"/>
        <w:ind w:left="1069"/>
        <w:jc w:val="both"/>
        <w:rPr>
          <w:rFonts w:eastAsia="Times New Roman" w:cs="Times New Roman"/>
          <w:b/>
          <w:bCs/>
          <w:lang w:eastAsia="de-DE"/>
        </w:rPr>
      </w:pPr>
      <w:r w:rsidRPr="00E13E09">
        <w:rPr>
          <w:rFonts w:eastAsia="Times New Roman" w:cs="Times New Roman"/>
          <w:b/>
          <w:bCs/>
          <w:lang w:eastAsia="de-DE"/>
        </w:rPr>
        <w:t>Der Förderzeitraum erstreckt sich auf das jeweilige Kalender- bzw. Haushaltsjahr</w:t>
      </w:r>
      <w:r w:rsidR="00FE6C36" w:rsidRPr="00E13E09">
        <w:rPr>
          <w:rFonts w:eastAsia="Times New Roman" w:cs="Times New Roman"/>
          <w:b/>
          <w:bCs/>
          <w:lang w:eastAsia="de-DE"/>
        </w:rPr>
        <w:t xml:space="preserve"> (01.01. - 31.12.)</w:t>
      </w:r>
      <w:r w:rsidRPr="00E13E09">
        <w:rPr>
          <w:rFonts w:eastAsia="Times New Roman" w:cs="Times New Roman"/>
          <w:b/>
          <w:bCs/>
          <w:lang w:eastAsia="de-DE"/>
        </w:rPr>
        <w:t xml:space="preserve">. </w:t>
      </w:r>
    </w:p>
    <w:p w:rsidR="009971B4" w:rsidRPr="00E13E09" w:rsidRDefault="009971B4" w:rsidP="004C4A5E">
      <w:pPr>
        <w:pStyle w:val="Listenabsatz"/>
        <w:numPr>
          <w:ilvl w:val="0"/>
          <w:numId w:val="25"/>
        </w:numPr>
        <w:spacing w:before="240" w:after="60" w:line="360" w:lineRule="auto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t xml:space="preserve">Zum 01.01. der jeweiligen Förderperiode wird durch die ADD nach Ziffer </w:t>
      </w:r>
      <w:r w:rsidR="00384AFC" w:rsidRPr="00E13E09">
        <w:rPr>
          <w:rFonts w:eastAsia="Times New Roman" w:cs="Times New Roman"/>
          <w:bCs/>
          <w:lang w:eastAsia="de-DE"/>
        </w:rPr>
        <w:t>5.3.2</w:t>
      </w:r>
      <w:r w:rsidRPr="00E13E09">
        <w:rPr>
          <w:rFonts w:eastAsia="Times New Roman" w:cs="Times New Roman"/>
          <w:bCs/>
          <w:lang w:eastAsia="de-DE"/>
        </w:rPr>
        <w:t xml:space="preserve"> die Erlaubnis zum vorzeitigen Maßnahme</w:t>
      </w:r>
      <w:r w:rsidR="005E03B4" w:rsidRPr="00E13E09">
        <w:rPr>
          <w:rFonts w:eastAsia="Times New Roman" w:cs="Times New Roman"/>
          <w:bCs/>
          <w:lang w:eastAsia="de-DE"/>
        </w:rPr>
        <w:t>n</w:t>
      </w:r>
      <w:r w:rsidRPr="00E13E09">
        <w:rPr>
          <w:rFonts w:eastAsia="Times New Roman" w:cs="Times New Roman"/>
          <w:bCs/>
          <w:lang w:eastAsia="de-DE"/>
        </w:rPr>
        <w:t xml:space="preserve">beginn erteilt. Dadurch darf mit der Maßnahme bereits dann begonnen werden, wenn der vollständige Antrag des Begünstigten beim Zuwendungsempfänger (also </w:t>
      </w:r>
      <w:r w:rsidR="004C4A5E" w:rsidRPr="00E13E09">
        <w:rPr>
          <w:rFonts w:eastAsia="Times New Roman" w:cs="Times New Roman"/>
          <w:bCs/>
          <w:lang w:eastAsia="de-DE"/>
        </w:rPr>
        <w:t>beim</w:t>
      </w:r>
      <w:r w:rsidRPr="00E13E09">
        <w:rPr>
          <w:rFonts w:eastAsia="Times New Roman" w:cs="Times New Roman"/>
          <w:bCs/>
          <w:lang w:eastAsia="de-DE"/>
        </w:rPr>
        <w:t xml:space="preserve"> Beratungsanbieter) eingegangen ist. </w:t>
      </w:r>
    </w:p>
    <w:p w:rsidR="009971B4" w:rsidRPr="00E13E09" w:rsidRDefault="009971B4" w:rsidP="009971B4">
      <w:pPr>
        <w:pStyle w:val="Listenabsatz"/>
        <w:numPr>
          <w:ilvl w:val="0"/>
          <w:numId w:val="19"/>
        </w:numPr>
        <w:spacing w:before="240" w:after="60" w:line="360" w:lineRule="auto"/>
        <w:jc w:val="both"/>
        <w:rPr>
          <w:rFonts w:eastAsia="Times New Roman" w:cs="Times New Roman"/>
          <w:bCs/>
          <w:lang w:eastAsia="de-DE"/>
        </w:rPr>
      </w:pPr>
      <w:r w:rsidRPr="00E13E09">
        <w:rPr>
          <w:rFonts w:eastAsia="Times New Roman" w:cs="Times New Roman"/>
          <w:bCs/>
          <w:lang w:eastAsia="de-DE"/>
        </w:rPr>
        <w:t>Nach der Genehmigung der Beratungsdienstleistungen wird auf der Homepage der ADD unter o. g. Link eine Liste aller genehmigten Beratungsdienstleistungen eingestellt.</w:t>
      </w:r>
    </w:p>
    <w:p w:rsidR="00787A17" w:rsidRPr="00E13E09" w:rsidRDefault="00787A17" w:rsidP="00787A17">
      <w:pPr>
        <w:pStyle w:val="Listenabsatz"/>
        <w:spacing w:before="240" w:after="60" w:line="360" w:lineRule="auto"/>
        <w:ind w:left="1069"/>
        <w:jc w:val="both"/>
        <w:rPr>
          <w:rFonts w:eastAsia="Times New Roman" w:cs="Times New Roman"/>
          <w:bCs/>
          <w:lang w:eastAsia="de-DE"/>
        </w:rPr>
      </w:pPr>
    </w:p>
    <w:p w:rsidR="00933F27" w:rsidRPr="00E13E09" w:rsidRDefault="00E13E09" w:rsidP="002500AE">
      <w:pPr>
        <w:pStyle w:val="Listenabsatz"/>
        <w:numPr>
          <w:ilvl w:val="0"/>
          <w:numId w:val="6"/>
        </w:numPr>
        <w:spacing w:before="240" w:after="60"/>
        <w:ind w:left="1066" w:hanging="357"/>
        <w:jc w:val="both"/>
        <w:rPr>
          <w:rFonts w:eastAsia="Times New Roman" w:cs="Times New Roman"/>
          <w:b/>
          <w:bCs/>
          <w:u w:val="single"/>
          <w:lang w:eastAsia="de-DE"/>
        </w:rPr>
      </w:pPr>
      <w:hyperlink r:id="rId10" w:anchor="gesivz27" w:history="1">
        <w:r w:rsidR="00933F27" w:rsidRPr="00E13E09">
          <w:rPr>
            <w:rFonts w:eastAsia="Times New Roman" w:cs="Times New Roman"/>
            <w:b/>
            <w:bCs/>
            <w:u w:val="single"/>
            <w:lang w:eastAsia="de-DE"/>
          </w:rPr>
          <w:t>Antrag</w:t>
        </w:r>
      </w:hyperlink>
      <w:r w:rsidR="00A01EEC" w:rsidRPr="00E13E09">
        <w:rPr>
          <w:rFonts w:eastAsia="Times New Roman" w:cs="Times New Roman"/>
          <w:b/>
          <w:bCs/>
          <w:u w:val="single"/>
          <w:lang w:eastAsia="de-DE"/>
        </w:rPr>
        <w:t xml:space="preserve"> und Verwendungsnachweis zu den Beratungsdienstleistungen </w:t>
      </w:r>
    </w:p>
    <w:p w:rsidR="003E00FA" w:rsidRPr="00E13E09" w:rsidRDefault="003E00FA" w:rsidP="002500AE">
      <w:pPr>
        <w:pStyle w:val="Listenabsatz"/>
        <w:numPr>
          <w:ilvl w:val="0"/>
          <w:numId w:val="5"/>
        </w:numPr>
        <w:spacing w:before="240" w:after="60" w:line="360" w:lineRule="exact"/>
        <w:ind w:left="1066" w:hanging="357"/>
        <w:jc w:val="both"/>
      </w:pPr>
      <w:r w:rsidRPr="00E13E09">
        <w:t xml:space="preserve">Es ist ein schriftlicher Antrag auf Gewährung </w:t>
      </w:r>
      <w:r w:rsidR="00A01EEC" w:rsidRPr="00E13E09">
        <w:t>der Zuwendung</w:t>
      </w:r>
      <w:r w:rsidRPr="00E13E09">
        <w:t xml:space="preserve"> </w:t>
      </w:r>
      <w:r w:rsidR="00A01EEC" w:rsidRPr="00E13E09">
        <w:t xml:space="preserve">bei der Bewilligungsbehörde (ADD) </w:t>
      </w:r>
      <w:r w:rsidRPr="00E13E09">
        <w:t xml:space="preserve">zu stellen. </w:t>
      </w:r>
      <w:r w:rsidR="00A01EEC" w:rsidRPr="00E13E09">
        <w:t xml:space="preserve">Das entsprechende Formular ist auf der Homepage der ADD unter o. g. </w:t>
      </w:r>
      <w:r w:rsidR="00A01EEC" w:rsidRPr="00E13E09">
        <w:lastRenderedPageBreak/>
        <w:t>Link zu finden („</w:t>
      </w:r>
      <w:r w:rsidR="005B00EA" w:rsidRPr="00E13E09">
        <w:t xml:space="preserve">Antrag und </w:t>
      </w:r>
      <w:r w:rsidR="00A01EEC" w:rsidRPr="00E13E09">
        <w:t xml:space="preserve">Verwendungsnachweis“) und beinhaltet sowohl den Antrag als auch den Verwendungsnachweis in einem Dokument. </w:t>
      </w:r>
    </w:p>
    <w:p w:rsidR="00871A8C" w:rsidRPr="00E13E09" w:rsidRDefault="00871A8C" w:rsidP="00871A8C">
      <w:pPr>
        <w:pStyle w:val="Listenabsatz"/>
        <w:spacing w:before="240" w:after="60" w:line="360" w:lineRule="exact"/>
        <w:ind w:left="1066"/>
        <w:jc w:val="both"/>
      </w:pPr>
      <w:r w:rsidRPr="00E13E09">
        <w:t xml:space="preserve">Der Antrag ist dabei sowohl vom Begünstigten als auch vom Zuwendungsempfänger zu unterschreiben. </w:t>
      </w:r>
    </w:p>
    <w:p w:rsidR="00E0375F" w:rsidRPr="00E13E09" w:rsidRDefault="00657FD9" w:rsidP="00657FD9">
      <w:pPr>
        <w:pStyle w:val="Listenabsatz"/>
        <w:numPr>
          <w:ilvl w:val="0"/>
          <w:numId w:val="5"/>
        </w:numPr>
        <w:spacing w:after="0" w:line="360" w:lineRule="exact"/>
        <w:jc w:val="both"/>
      </w:pPr>
      <w:r w:rsidRPr="00E13E09">
        <w:t xml:space="preserve">Der Antrag/Verwendungsnachweis ist jährlich </w:t>
      </w:r>
      <w:r w:rsidRPr="00E13E09">
        <w:rPr>
          <w:b/>
        </w:rPr>
        <w:t>bis zum 15.11.</w:t>
      </w:r>
      <w:r w:rsidRPr="00E13E09">
        <w:t xml:space="preserve"> des jeweiligen Förderzeitraums bei der ADD einzureichen, um noch eine Prüfung und entsprechende Auszahlung gewährleisten zu können. </w:t>
      </w:r>
    </w:p>
    <w:p w:rsidR="00657FD9" w:rsidRPr="00E13E09" w:rsidRDefault="00657FD9" w:rsidP="00657FD9">
      <w:pPr>
        <w:pStyle w:val="Listenabsatz"/>
        <w:numPr>
          <w:ilvl w:val="0"/>
          <w:numId w:val="5"/>
        </w:numPr>
        <w:spacing w:after="0" w:line="360" w:lineRule="exact"/>
        <w:jc w:val="both"/>
      </w:pPr>
      <w:r w:rsidRPr="00E13E09">
        <w:t xml:space="preserve">Mit der Einreichung des Antrags/Verwendungsnachweises </w:t>
      </w:r>
      <w:r w:rsidR="0094701C" w:rsidRPr="00E13E09">
        <w:t>sind</w:t>
      </w:r>
      <w:r w:rsidRPr="00E13E09">
        <w:t xml:space="preserve"> die Rechnung über die Beratungsdienstleistungen an den Begünstigten sowie ein Zahlungsnachweis über den </w:t>
      </w:r>
      <w:r w:rsidR="00FB4833" w:rsidRPr="00E13E09">
        <w:t xml:space="preserve">gezahlten </w:t>
      </w:r>
      <w:r w:rsidRPr="00E13E09">
        <w:t xml:space="preserve">Eigenanteil des Begünstigten beizufügen. </w:t>
      </w:r>
    </w:p>
    <w:p w:rsidR="003E00FA" w:rsidRPr="00E13E09" w:rsidRDefault="003E00FA" w:rsidP="00B13B46">
      <w:pPr>
        <w:pStyle w:val="Listenabsatz"/>
        <w:numPr>
          <w:ilvl w:val="0"/>
          <w:numId w:val="5"/>
        </w:numPr>
        <w:spacing w:after="0" w:line="360" w:lineRule="exact"/>
        <w:jc w:val="both"/>
      </w:pPr>
      <w:r w:rsidRPr="00E13E09">
        <w:t>Die ADD als</w:t>
      </w:r>
      <w:r w:rsidR="00631C53" w:rsidRPr="00E13E09">
        <w:t xml:space="preserve"> zuständige</w:t>
      </w:r>
      <w:r w:rsidRPr="00E13E09">
        <w:t xml:space="preserve"> Bewilligungsbehörde entscheidet über den Antrag und erstellt den Bewilligungsbescheid. </w:t>
      </w:r>
    </w:p>
    <w:p w:rsidR="00317A3A" w:rsidRPr="00E13E09" w:rsidRDefault="00317A3A" w:rsidP="00317A3A">
      <w:pPr>
        <w:pStyle w:val="Listenabsatz"/>
        <w:spacing w:after="0" w:line="360" w:lineRule="exact"/>
        <w:ind w:left="1068"/>
        <w:jc w:val="both"/>
      </w:pPr>
    </w:p>
    <w:p w:rsidR="00933F27" w:rsidRPr="00E13E09" w:rsidRDefault="00933F27" w:rsidP="002500AE">
      <w:pPr>
        <w:pStyle w:val="Listenabsatz"/>
        <w:numPr>
          <w:ilvl w:val="0"/>
          <w:numId w:val="6"/>
        </w:numPr>
        <w:spacing w:before="240" w:after="60"/>
        <w:jc w:val="both"/>
        <w:rPr>
          <w:rFonts w:eastAsia="Times New Roman" w:cs="Times New Roman"/>
          <w:b/>
          <w:bCs/>
          <w:szCs w:val="24"/>
          <w:u w:val="single"/>
          <w:lang w:eastAsia="de-DE"/>
        </w:rPr>
      </w:pPr>
      <w:r w:rsidRPr="00E13E09">
        <w:rPr>
          <w:rFonts w:eastAsia="Times New Roman" w:cs="Times New Roman"/>
          <w:b/>
          <w:bCs/>
          <w:szCs w:val="24"/>
          <w:u w:val="single"/>
          <w:lang w:eastAsia="de-DE"/>
        </w:rPr>
        <w:t>Bewilligung</w:t>
      </w:r>
    </w:p>
    <w:p w:rsidR="00933F27" w:rsidRPr="00E13E09" w:rsidRDefault="00933F27" w:rsidP="00840357">
      <w:pPr>
        <w:spacing w:after="0" w:line="360" w:lineRule="auto"/>
        <w:ind w:left="708"/>
        <w:jc w:val="both"/>
      </w:pPr>
      <w:r w:rsidRPr="00E13E09">
        <w:t xml:space="preserve">Die Bewilligung erfolgt </w:t>
      </w:r>
      <w:r w:rsidR="005965EA" w:rsidRPr="00E13E09">
        <w:t>nach</w:t>
      </w:r>
      <w:r w:rsidRPr="00E13E09">
        <w:t xml:space="preserve"> den Bestimmungen </w:t>
      </w:r>
      <w:r w:rsidR="005965EA" w:rsidRPr="00E13E09">
        <w:t>der</w:t>
      </w:r>
      <w:r w:rsidR="0069679A" w:rsidRPr="00E13E09">
        <w:t xml:space="preserve"> Ziffer </w:t>
      </w:r>
      <w:r w:rsidR="00384AFC" w:rsidRPr="00E13E09">
        <w:t>2.3.3</w:t>
      </w:r>
      <w:r w:rsidR="0069679A" w:rsidRPr="00E13E09">
        <w:t xml:space="preserve"> der</w:t>
      </w:r>
      <w:r w:rsidR="005965EA" w:rsidRPr="00E13E09">
        <w:t xml:space="preserve"> o. g.</w:t>
      </w:r>
      <w:r w:rsidR="0069679A" w:rsidRPr="00E13E09">
        <w:t xml:space="preserve"> VV mit folgenden Maßgaben: </w:t>
      </w:r>
    </w:p>
    <w:p w:rsidR="0069679A" w:rsidRPr="00E13E09" w:rsidRDefault="0069679A" w:rsidP="00FB4833">
      <w:pPr>
        <w:spacing w:after="0" w:line="360" w:lineRule="auto"/>
        <w:ind w:left="708"/>
        <w:jc w:val="both"/>
      </w:pPr>
      <w:r w:rsidRPr="00E13E09">
        <w:t xml:space="preserve">Der Zuschuss wird in Höhe von bis </w:t>
      </w:r>
      <w:r w:rsidRPr="00E13E09">
        <w:rPr>
          <w:b/>
        </w:rPr>
        <w:t xml:space="preserve">zu </w:t>
      </w:r>
      <w:r w:rsidR="00384AFC" w:rsidRPr="00E13E09">
        <w:rPr>
          <w:b/>
        </w:rPr>
        <w:t>70</w:t>
      </w:r>
      <w:r w:rsidRPr="00E13E09">
        <w:rPr>
          <w:b/>
        </w:rPr>
        <w:t xml:space="preserve"> v. H</w:t>
      </w:r>
      <w:r w:rsidRPr="00E13E09">
        <w:t xml:space="preserve">. der förderfähigen Gesamtausgaben mit folgenden Mindest- und Höchstgrenzen festgelegt: </w:t>
      </w:r>
    </w:p>
    <w:p w:rsidR="0069679A" w:rsidRPr="00E13E09" w:rsidRDefault="0069679A" w:rsidP="00840357">
      <w:pPr>
        <w:pStyle w:val="Listenabsatz"/>
        <w:numPr>
          <w:ilvl w:val="0"/>
          <w:numId w:val="22"/>
        </w:numPr>
        <w:spacing w:after="0" w:line="360" w:lineRule="auto"/>
        <w:jc w:val="both"/>
      </w:pPr>
      <w:r w:rsidRPr="00E13E09">
        <w:t xml:space="preserve">die förderfähigen Ausgaben sind auf </w:t>
      </w:r>
      <w:r w:rsidRPr="00E13E09">
        <w:rPr>
          <w:b/>
        </w:rPr>
        <w:t xml:space="preserve">bis zu </w:t>
      </w:r>
      <w:r w:rsidR="00384AFC" w:rsidRPr="00E13E09">
        <w:rPr>
          <w:b/>
        </w:rPr>
        <w:t>90</w:t>
      </w:r>
      <w:r w:rsidRPr="00E13E09">
        <w:rPr>
          <w:b/>
        </w:rPr>
        <w:t xml:space="preserve"> Euro</w:t>
      </w:r>
      <w:r w:rsidRPr="00E13E09">
        <w:t xml:space="preserve"> (netto und ohne Umsatzsteuer) je Beratungsstunde begrenzt</w:t>
      </w:r>
    </w:p>
    <w:p w:rsidR="0069679A" w:rsidRPr="00E13E09" w:rsidRDefault="0069679A" w:rsidP="00840357">
      <w:pPr>
        <w:pStyle w:val="Listenabsatz"/>
        <w:numPr>
          <w:ilvl w:val="0"/>
          <w:numId w:val="22"/>
        </w:numPr>
        <w:spacing w:after="0" w:line="360" w:lineRule="auto"/>
        <w:jc w:val="both"/>
      </w:pPr>
      <w:r w:rsidRPr="00E13E09">
        <w:t xml:space="preserve">Zuschüsse von weniger als </w:t>
      </w:r>
      <w:r w:rsidR="00384AFC" w:rsidRPr="00E13E09">
        <w:rPr>
          <w:b/>
        </w:rPr>
        <w:t>500</w:t>
      </w:r>
      <w:r w:rsidRPr="00E13E09">
        <w:t xml:space="preserve"> Euro (=Bagatellgrenze) werden nicht gewährt</w:t>
      </w:r>
    </w:p>
    <w:p w:rsidR="0069679A" w:rsidRPr="00E13E09" w:rsidRDefault="0069679A" w:rsidP="00840357">
      <w:pPr>
        <w:pStyle w:val="Listenabsatz"/>
        <w:numPr>
          <w:ilvl w:val="0"/>
          <w:numId w:val="22"/>
        </w:numPr>
        <w:spacing w:after="0" w:line="360" w:lineRule="auto"/>
        <w:jc w:val="both"/>
      </w:pPr>
      <w:r w:rsidRPr="00E13E09">
        <w:t xml:space="preserve">der Höchstbetrag darf </w:t>
      </w:r>
      <w:r w:rsidR="00384AFC" w:rsidRPr="00E13E09">
        <w:rPr>
          <w:b/>
        </w:rPr>
        <w:t>2.000,00</w:t>
      </w:r>
      <w:r w:rsidRPr="00E13E09">
        <w:t xml:space="preserve"> Euro je </w:t>
      </w:r>
      <w:r w:rsidR="00384AFC" w:rsidRPr="00E13E09">
        <w:t>Unternehmen/Jahr</w:t>
      </w:r>
      <w:r w:rsidRPr="00E13E09">
        <w:t xml:space="preserve"> nach Ziffer </w:t>
      </w:r>
      <w:r w:rsidR="00384AFC" w:rsidRPr="00E13E09">
        <w:t>2.3.3 b)</w:t>
      </w:r>
      <w:r w:rsidRPr="00E13E09">
        <w:t xml:space="preserve"> der </w:t>
      </w:r>
      <w:r w:rsidR="00FB4833" w:rsidRPr="00E13E09">
        <w:t xml:space="preserve">o. g. </w:t>
      </w:r>
      <w:r w:rsidR="00384AFC" w:rsidRPr="00E13E09">
        <w:t xml:space="preserve">VV </w:t>
      </w:r>
      <w:r w:rsidRPr="00E13E09">
        <w:t xml:space="preserve">nicht übersteigen. </w:t>
      </w:r>
    </w:p>
    <w:p w:rsidR="004C0146" w:rsidRPr="00E13E09" w:rsidRDefault="004C0146" w:rsidP="005673BB">
      <w:pPr>
        <w:spacing w:after="0"/>
        <w:ind w:left="708"/>
        <w:jc w:val="both"/>
      </w:pPr>
    </w:p>
    <w:p w:rsidR="00FB4833" w:rsidRPr="00E13E09" w:rsidRDefault="0069679A" w:rsidP="00840357">
      <w:pPr>
        <w:spacing w:after="0" w:line="360" w:lineRule="auto"/>
        <w:ind w:left="708"/>
        <w:jc w:val="both"/>
      </w:pPr>
      <w:r w:rsidRPr="00E13E09">
        <w:t xml:space="preserve">Nach Prüfung des Antrags/Verwendungsnachweises wird durch die ADD der Bewilligungsbescheid an den Begünstigten versandt. Der Beratungsanbieter als Zuwendungsempfänger </w:t>
      </w:r>
      <w:r w:rsidR="001025E9" w:rsidRPr="00E13E09">
        <w:t xml:space="preserve">sowie das Ministerium für Wirtschaft, Verkehr, Landwirtschaft und Weinbau erhalten </w:t>
      </w:r>
      <w:r w:rsidRPr="00E13E09">
        <w:t xml:space="preserve">eine Durchschrift dieses Schreibens. </w:t>
      </w:r>
    </w:p>
    <w:p w:rsidR="0069679A" w:rsidRPr="00E13E09" w:rsidRDefault="0069679A" w:rsidP="00840357">
      <w:pPr>
        <w:spacing w:after="0" w:line="360" w:lineRule="auto"/>
        <w:ind w:left="708"/>
        <w:jc w:val="both"/>
      </w:pPr>
      <w:r w:rsidRPr="00E13E09">
        <w:t xml:space="preserve">Gleichzeitig erhält der Beratungsanbieter ein weiteres Schreiben mit der Summe der Fördermittel </w:t>
      </w:r>
      <w:r w:rsidR="005965EA" w:rsidRPr="00E13E09">
        <w:t>aller</w:t>
      </w:r>
      <w:r w:rsidRPr="00E13E09">
        <w:t xml:space="preserve"> eingereichten Anträge und einer entsprechenden Übersichtstabelle mit der Auflistung </w:t>
      </w:r>
      <w:r w:rsidR="00FB4833" w:rsidRPr="00E13E09">
        <w:t>aller</w:t>
      </w:r>
      <w:r w:rsidRPr="00E13E09">
        <w:t xml:space="preserve"> Antragsteller. </w:t>
      </w:r>
    </w:p>
    <w:p w:rsidR="0005633A" w:rsidRPr="00E13E09" w:rsidRDefault="0005633A" w:rsidP="00840357">
      <w:pPr>
        <w:spacing w:after="0" w:line="360" w:lineRule="auto"/>
        <w:ind w:left="708"/>
        <w:jc w:val="both"/>
      </w:pPr>
      <w:r w:rsidRPr="00E13E09">
        <w:t>Die vorgelegten Belege und Rechnungen verbleiben bei der ADD, die Originalanträge werden mit den Bewilligungsschre</w:t>
      </w:r>
      <w:r w:rsidR="00F86090" w:rsidRPr="00E13E09">
        <w:t>iben an den Begünstigten zurück</w:t>
      </w:r>
      <w:r w:rsidRPr="00E13E09">
        <w:t>gesendet</w:t>
      </w:r>
      <w:r w:rsidR="00FB4833" w:rsidRPr="00E13E09">
        <w:t>, sind jedoch für Prüfungszwecke noch fünf Jahre aufzubewahren</w:t>
      </w:r>
      <w:r w:rsidRPr="00E13E09">
        <w:t xml:space="preserve">. </w:t>
      </w:r>
    </w:p>
    <w:p w:rsidR="005965EA" w:rsidRPr="00E13E09" w:rsidRDefault="005965EA" w:rsidP="00840357">
      <w:pPr>
        <w:spacing w:after="0" w:line="360" w:lineRule="auto"/>
        <w:ind w:left="708"/>
        <w:jc w:val="both"/>
      </w:pPr>
    </w:p>
    <w:p w:rsidR="009535F5" w:rsidRPr="00E13E09" w:rsidRDefault="009535F5" w:rsidP="009535F5">
      <w:pPr>
        <w:pStyle w:val="Listenabsatz"/>
        <w:numPr>
          <w:ilvl w:val="0"/>
          <w:numId w:val="6"/>
        </w:numPr>
        <w:spacing w:after="0" w:line="360" w:lineRule="auto"/>
        <w:jc w:val="both"/>
        <w:rPr>
          <w:b/>
          <w:u w:val="single"/>
        </w:rPr>
      </w:pPr>
      <w:r w:rsidRPr="00E13E09">
        <w:rPr>
          <w:b/>
          <w:u w:val="single"/>
        </w:rPr>
        <w:lastRenderedPageBreak/>
        <w:t xml:space="preserve">Auszahlung </w:t>
      </w:r>
    </w:p>
    <w:p w:rsidR="0069679A" w:rsidRPr="00E13E09" w:rsidRDefault="0069679A" w:rsidP="009535F5">
      <w:pPr>
        <w:pStyle w:val="Listenabsatz"/>
        <w:numPr>
          <w:ilvl w:val="0"/>
          <w:numId w:val="26"/>
        </w:numPr>
        <w:spacing w:after="0" w:line="360" w:lineRule="auto"/>
        <w:jc w:val="both"/>
      </w:pPr>
      <w:r w:rsidRPr="00E13E09">
        <w:t xml:space="preserve">Die Auszahlung der Fördermittel erfolgt </w:t>
      </w:r>
      <w:r w:rsidR="006F0A48" w:rsidRPr="00E13E09">
        <w:t xml:space="preserve">durch die ADD auf die </w:t>
      </w:r>
      <w:r w:rsidR="00C805D4" w:rsidRPr="00E13E09">
        <w:t>von dem</w:t>
      </w:r>
      <w:r w:rsidR="006F0A48" w:rsidRPr="00E13E09">
        <w:t xml:space="preserve"> Beratungsanbieter </w:t>
      </w:r>
      <w:bookmarkStart w:id="0" w:name="_GoBack"/>
      <w:bookmarkEnd w:id="0"/>
      <w:r w:rsidR="006F0A48" w:rsidRPr="00E13E09">
        <w:t xml:space="preserve">angegebene Bankverbindung. </w:t>
      </w:r>
      <w:r w:rsidR="0005633A" w:rsidRPr="00E13E09">
        <w:t xml:space="preserve">Eine gesonderte Mittelanforderung ist nicht erforderlich. </w:t>
      </w:r>
    </w:p>
    <w:p w:rsidR="00FB4833" w:rsidRPr="00E13E09" w:rsidRDefault="009535F5" w:rsidP="00FB4833">
      <w:pPr>
        <w:pStyle w:val="Listenabsatz"/>
        <w:numPr>
          <w:ilvl w:val="0"/>
          <w:numId w:val="26"/>
        </w:numPr>
        <w:spacing w:after="0" w:line="360" w:lineRule="auto"/>
        <w:jc w:val="both"/>
      </w:pPr>
      <w:r w:rsidRPr="00E13E09">
        <w:t>Die Auszahlung kann erst erfolg</w:t>
      </w:r>
      <w:r w:rsidR="00BE11F6" w:rsidRPr="00E13E09">
        <w:t xml:space="preserve">en, wenn der Zuwendungsbescheid </w:t>
      </w:r>
      <w:r w:rsidRPr="00E13E09">
        <w:t xml:space="preserve">bestandskräftig geworden ist, das heißt grundsätzlich erst einen Monat nach Bekanntgabe bzw. nach Vorlage eines Rechtsmittelverzichtes, in dem erklärt wird, auf die Einlegung eines Rechtsmittels bzw. Rechtsbehelfs zu verzichten.  </w:t>
      </w:r>
    </w:p>
    <w:p w:rsidR="00A2136E" w:rsidRPr="00E13E09" w:rsidRDefault="00A2136E" w:rsidP="00A2136E">
      <w:pPr>
        <w:pStyle w:val="Listenabsatz"/>
        <w:spacing w:after="0" w:line="360" w:lineRule="auto"/>
        <w:ind w:left="1068"/>
        <w:jc w:val="both"/>
      </w:pPr>
      <w:r w:rsidRPr="00E13E09">
        <w:t xml:space="preserve">Dabei gilt der Monat ab Bekanntgabe des </w:t>
      </w:r>
      <w:r w:rsidRPr="00E13E09">
        <w:rPr>
          <w:u w:val="single"/>
        </w:rPr>
        <w:t>Zuweisungsschreibens</w:t>
      </w:r>
      <w:r w:rsidR="00F86090" w:rsidRPr="00E13E09">
        <w:t xml:space="preserve">, </w:t>
      </w:r>
      <w:r w:rsidRPr="00E13E09">
        <w:t>nicht des Bewilligungsbescheides an den Begünstigten.</w:t>
      </w:r>
    </w:p>
    <w:p w:rsidR="000331CF" w:rsidRPr="00E13E09" w:rsidRDefault="000331CF" w:rsidP="000331CF">
      <w:pPr>
        <w:pStyle w:val="Listenabsatz"/>
        <w:spacing w:after="0" w:line="360" w:lineRule="auto"/>
        <w:ind w:left="1068"/>
        <w:jc w:val="both"/>
      </w:pPr>
    </w:p>
    <w:p w:rsidR="00B81EAA" w:rsidRPr="00E13E09" w:rsidRDefault="0005633A" w:rsidP="00B81EAA">
      <w:pPr>
        <w:pStyle w:val="Listenabsatz"/>
        <w:numPr>
          <w:ilvl w:val="0"/>
          <w:numId w:val="6"/>
        </w:numPr>
        <w:spacing w:after="0" w:line="360" w:lineRule="exact"/>
        <w:jc w:val="both"/>
        <w:rPr>
          <w:b/>
          <w:u w:val="single"/>
        </w:rPr>
      </w:pPr>
      <w:r w:rsidRPr="00E13E09">
        <w:rPr>
          <w:b/>
          <w:u w:val="single"/>
        </w:rPr>
        <w:t>Evaluation der Beratungsdienstleistungen</w:t>
      </w:r>
    </w:p>
    <w:p w:rsidR="0005633A" w:rsidRPr="00E13E09" w:rsidRDefault="0005633A" w:rsidP="0005633A">
      <w:pPr>
        <w:pStyle w:val="Listenabsatz"/>
        <w:numPr>
          <w:ilvl w:val="0"/>
          <w:numId w:val="24"/>
        </w:numPr>
        <w:spacing w:after="0" w:line="360" w:lineRule="exact"/>
        <w:jc w:val="both"/>
      </w:pPr>
      <w:r w:rsidRPr="00E13E09">
        <w:t>Mit dem Zuweisungsschreiben der dem Beratungsanbieter zugewiesenen Mittel wird darauf aufmerksam gemacht, dass zum 28.02. des auf die Förderperiode folgenden Jahres</w:t>
      </w:r>
      <w:r w:rsidR="009535F5" w:rsidRPr="00E13E09">
        <w:t xml:space="preserve"> eine</w:t>
      </w:r>
      <w:r w:rsidRPr="00E13E09">
        <w:t xml:space="preserve"> tabellarische Übersicht über die mit dem Antrag auf Genehmigung der Beratungsdienstleistungen angegebenen Kennzahlen zu Beratungswirkung und Beratungsergebnis vorzulegen </w:t>
      </w:r>
      <w:r w:rsidR="009535F5" w:rsidRPr="00E13E09">
        <w:t>ist</w:t>
      </w:r>
      <w:r w:rsidRPr="00E13E09">
        <w:t xml:space="preserve">. </w:t>
      </w:r>
    </w:p>
    <w:p w:rsidR="009535F5" w:rsidRPr="00E13E09" w:rsidRDefault="009535F5" w:rsidP="009535F5">
      <w:pPr>
        <w:pStyle w:val="Listenabsatz"/>
        <w:numPr>
          <w:ilvl w:val="0"/>
          <w:numId w:val="24"/>
        </w:numPr>
        <w:spacing w:after="0" w:line="360" w:lineRule="exact"/>
        <w:jc w:val="both"/>
      </w:pPr>
      <w:r w:rsidRPr="00E13E09">
        <w:t>Die</w:t>
      </w:r>
      <w:r w:rsidR="0005633A" w:rsidRPr="00E13E09">
        <w:t xml:space="preserve"> tabellarische Übersicht soll je nach Kennzahlen in geeigneter und übersichtlicher Weise dargestellt werden. </w:t>
      </w:r>
    </w:p>
    <w:sectPr w:rsidR="009535F5" w:rsidRPr="00E13E09" w:rsidSect="00576600">
      <w:headerReference w:type="default" r:id="rId11"/>
      <w:footerReference w:type="default" r:id="rId12"/>
      <w:pgSz w:w="11906" w:h="16838"/>
      <w:pgMar w:top="1276" w:right="17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E1" w:rsidRDefault="00110DE1" w:rsidP="00576600">
      <w:pPr>
        <w:spacing w:after="0" w:line="240" w:lineRule="auto"/>
      </w:pPr>
      <w:r>
        <w:separator/>
      </w:r>
    </w:p>
  </w:endnote>
  <w:endnote w:type="continuationSeparator" w:id="0">
    <w:p w:rsidR="00110DE1" w:rsidRDefault="00110DE1" w:rsidP="0057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39648"/>
      <w:docPartObj>
        <w:docPartGallery w:val="Page Numbers (Bottom of Page)"/>
        <w:docPartUnique/>
      </w:docPartObj>
    </w:sdtPr>
    <w:sdtEndPr/>
    <w:sdtContent>
      <w:sdt>
        <w:sdtPr>
          <w:id w:val="753869018"/>
          <w:docPartObj>
            <w:docPartGallery w:val="Page Numbers (Top of Page)"/>
            <w:docPartUnique/>
          </w:docPartObj>
        </w:sdtPr>
        <w:sdtEndPr/>
        <w:sdtContent>
          <w:p w:rsidR="00576600" w:rsidRDefault="00532CBA" w:rsidP="00576600">
            <w:pPr>
              <w:pStyle w:val="Fuzeile"/>
              <w:pBdr>
                <w:top w:val="single" w:sz="4" w:space="1" w:color="auto"/>
              </w:pBdr>
            </w:pPr>
            <w:r>
              <w:t>Stand</w:t>
            </w:r>
            <w:r w:rsidR="00E257D2">
              <w:t xml:space="preserve">: </w:t>
            </w:r>
            <w:r w:rsidR="00A15B86">
              <w:t>30.04.2024</w:t>
            </w:r>
            <w:r w:rsidR="003D1625">
              <w:tab/>
            </w:r>
            <w:r w:rsidR="00E257D2">
              <w:tab/>
            </w:r>
            <w:r w:rsidR="003D1625">
              <w:t xml:space="preserve">  </w:t>
            </w:r>
            <w:r w:rsidR="00576600">
              <w:t xml:space="preserve">Seite </w:t>
            </w:r>
            <w:r w:rsidR="00576600">
              <w:rPr>
                <w:b/>
                <w:bCs/>
                <w:sz w:val="24"/>
                <w:szCs w:val="24"/>
              </w:rPr>
              <w:fldChar w:fldCharType="begin"/>
            </w:r>
            <w:r w:rsidR="00576600">
              <w:rPr>
                <w:b/>
                <w:bCs/>
              </w:rPr>
              <w:instrText>PAGE</w:instrText>
            </w:r>
            <w:r w:rsidR="00576600">
              <w:rPr>
                <w:b/>
                <w:bCs/>
                <w:sz w:val="24"/>
                <w:szCs w:val="24"/>
              </w:rPr>
              <w:fldChar w:fldCharType="separate"/>
            </w:r>
            <w:r w:rsidR="00E13E09">
              <w:rPr>
                <w:b/>
                <w:bCs/>
                <w:noProof/>
              </w:rPr>
              <w:t>1</w:t>
            </w:r>
            <w:r w:rsidR="00576600">
              <w:rPr>
                <w:b/>
                <w:bCs/>
                <w:sz w:val="24"/>
                <w:szCs w:val="24"/>
              </w:rPr>
              <w:fldChar w:fldCharType="end"/>
            </w:r>
            <w:r w:rsidR="00576600">
              <w:t xml:space="preserve"> von </w:t>
            </w:r>
            <w:r w:rsidR="00576600">
              <w:rPr>
                <w:b/>
                <w:bCs/>
                <w:sz w:val="24"/>
                <w:szCs w:val="24"/>
              </w:rPr>
              <w:fldChar w:fldCharType="begin"/>
            </w:r>
            <w:r w:rsidR="00576600">
              <w:rPr>
                <w:b/>
                <w:bCs/>
              </w:rPr>
              <w:instrText>NUMPAGES</w:instrText>
            </w:r>
            <w:r w:rsidR="00576600">
              <w:rPr>
                <w:b/>
                <w:bCs/>
                <w:sz w:val="24"/>
                <w:szCs w:val="24"/>
              </w:rPr>
              <w:fldChar w:fldCharType="separate"/>
            </w:r>
            <w:r w:rsidR="00E13E09">
              <w:rPr>
                <w:b/>
                <w:bCs/>
                <w:noProof/>
              </w:rPr>
              <w:t>5</w:t>
            </w:r>
            <w:r w:rsidR="0057660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6600" w:rsidRDefault="005766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E1" w:rsidRDefault="00110DE1" w:rsidP="00576600">
      <w:pPr>
        <w:spacing w:after="0" w:line="240" w:lineRule="auto"/>
      </w:pPr>
      <w:r>
        <w:separator/>
      </w:r>
    </w:p>
  </w:footnote>
  <w:footnote w:type="continuationSeparator" w:id="0">
    <w:p w:rsidR="00110DE1" w:rsidRDefault="00110DE1" w:rsidP="0057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00" w:rsidRDefault="00576600" w:rsidP="00576600">
    <w:pPr>
      <w:pStyle w:val="Kopfzeile"/>
      <w:ind w:left="426"/>
    </w:pPr>
    <w:r>
      <w:ptab w:relativeTo="margin" w:alignment="center" w:leader="none"/>
    </w:r>
  </w:p>
  <w:p w:rsidR="002500AE" w:rsidRDefault="002500AE" w:rsidP="002500AE">
    <w:pPr>
      <w:pStyle w:val="Kopfzeile"/>
      <w:pBdr>
        <w:bottom w:val="single" w:sz="4" w:space="1" w:color="auto"/>
      </w:pBdr>
      <w:spacing w:line="276" w:lineRule="auto"/>
      <w:ind w:firstLine="3540"/>
      <w:rPr>
        <w:b/>
        <w:sz w:val="32"/>
      </w:rPr>
    </w:pPr>
    <w:r w:rsidRPr="002500AE">
      <w:rPr>
        <w:b/>
        <w:sz w:val="32"/>
      </w:rPr>
      <w:t xml:space="preserve">Hinweise </w:t>
    </w:r>
    <w:r>
      <w:rPr>
        <w:b/>
        <w:sz w:val="32"/>
      </w:rPr>
      <w:t>–</w:t>
    </w:r>
    <w:r w:rsidRPr="002500AE">
      <w:rPr>
        <w:b/>
        <w:sz w:val="32"/>
      </w:rPr>
      <w:t xml:space="preserve"> Infoblatt</w:t>
    </w:r>
    <w:r w:rsidR="00A50CFB">
      <w:rPr>
        <w:b/>
        <w:sz w:val="32"/>
      </w:rPr>
      <w:tab/>
    </w:r>
  </w:p>
  <w:p w:rsidR="002500AE" w:rsidRDefault="002500AE" w:rsidP="002500AE">
    <w:pPr>
      <w:keepNext/>
      <w:spacing w:after="0"/>
      <w:ind w:left="709"/>
      <w:jc w:val="center"/>
      <w:outlineLvl w:val="0"/>
      <w:rPr>
        <w:rFonts w:eastAsia="Times New Roman" w:cs="Times New Roman"/>
        <w:b/>
        <w:bCs/>
        <w:color w:val="B00303"/>
        <w:sz w:val="24"/>
        <w:szCs w:val="24"/>
        <w:lang w:eastAsia="de-DE"/>
      </w:rPr>
    </w:pPr>
  </w:p>
  <w:p w:rsidR="00576600" w:rsidRDefault="00576600" w:rsidP="002500AE">
    <w:pPr>
      <w:pStyle w:val="Kopfzeile"/>
      <w:ind w:firstLine="3540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BEC"/>
    <w:multiLevelType w:val="hybridMultilevel"/>
    <w:tmpl w:val="85487F6C"/>
    <w:lvl w:ilvl="0" w:tplc="01AC927E">
      <w:start w:val="2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7726C0"/>
    <w:multiLevelType w:val="hybridMultilevel"/>
    <w:tmpl w:val="BC68831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727C6"/>
    <w:multiLevelType w:val="hybridMultilevel"/>
    <w:tmpl w:val="49825EE6"/>
    <w:lvl w:ilvl="0" w:tplc="64F48246">
      <w:start w:val="2"/>
      <w:numFmt w:val="bullet"/>
      <w:lvlText w:val="-"/>
      <w:lvlJc w:val="left"/>
      <w:pPr>
        <w:ind w:left="1426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89E4956"/>
    <w:multiLevelType w:val="hybridMultilevel"/>
    <w:tmpl w:val="393E54DC"/>
    <w:lvl w:ilvl="0" w:tplc="C95EBA10">
      <w:start w:val="1"/>
      <w:numFmt w:val="bullet"/>
      <w:lvlText w:val="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2B70D9"/>
    <w:multiLevelType w:val="hybridMultilevel"/>
    <w:tmpl w:val="F0360EB2"/>
    <w:lvl w:ilvl="0" w:tplc="401CCB76">
      <w:numFmt w:val="bullet"/>
      <w:lvlText w:val="-"/>
      <w:lvlJc w:val="left"/>
      <w:pPr>
        <w:ind w:left="142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11470D87"/>
    <w:multiLevelType w:val="hybridMultilevel"/>
    <w:tmpl w:val="5014A1C2"/>
    <w:lvl w:ilvl="0" w:tplc="C95EBA10">
      <w:start w:val="1"/>
      <w:numFmt w:val="bullet"/>
      <w:lvlText w:val="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CA2B1C"/>
    <w:multiLevelType w:val="hybridMultilevel"/>
    <w:tmpl w:val="51A46A9A"/>
    <w:lvl w:ilvl="0" w:tplc="D2F247A0">
      <w:start w:val="6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207F74"/>
    <w:multiLevelType w:val="hybridMultilevel"/>
    <w:tmpl w:val="9B46776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6F6862"/>
    <w:multiLevelType w:val="hybridMultilevel"/>
    <w:tmpl w:val="EEBC5A0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360299"/>
    <w:multiLevelType w:val="hybridMultilevel"/>
    <w:tmpl w:val="742882C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25A5969"/>
    <w:multiLevelType w:val="hybridMultilevel"/>
    <w:tmpl w:val="86CA90E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433526B"/>
    <w:multiLevelType w:val="hybridMultilevel"/>
    <w:tmpl w:val="1992610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A218E3"/>
    <w:multiLevelType w:val="hybridMultilevel"/>
    <w:tmpl w:val="5394A83E"/>
    <w:lvl w:ilvl="0" w:tplc="C95EBA10">
      <w:start w:val="1"/>
      <w:numFmt w:val="bullet"/>
      <w:lvlText w:val="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BD6C57"/>
    <w:multiLevelType w:val="hybridMultilevel"/>
    <w:tmpl w:val="883A817A"/>
    <w:lvl w:ilvl="0" w:tplc="B286525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b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450B46"/>
    <w:multiLevelType w:val="hybridMultilevel"/>
    <w:tmpl w:val="ABA66F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7FAF342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A5C06"/>
    <w:multiLevelType w:val="hybridMultilevel"/>
    <w:tmpl w:val="11E84CEC"/>
    <w:lvl w:ilvl="0" w:tplc="C95EBA1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7FAF342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173A"/>
    <w:multiLevelType w:val="hybridMultilevel"/>
    <w:tmpl w:val="B4D83DB2"/>
    <w:lvl w:ilvl="0" w:tplc="C95EBA10">
      <w:start w:val="1"/>
      <w:numFmt w:val="bullet"/>
      <w:lvlText w:val="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A321829"/>
    <w:multiLevelType w:val="multilevel"/>
    <w:tmpl w:val="651AF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914929"/>
    <w:multiLevelType w:val="hybridMultilevel"/>
    <w:tmpl w:val="1F6CF354"/>
    <w:lvl w:ilvl="0" w:tplc="C95EBA10">
      <w:start w:val="1"/>
      <w:numFmt w:val="bullet"/>
      <w:lvlText w:val="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8213CA"/>
    <w:multiLevelType w:val="hybridMultilevel"/>
    <w:tmpl w:val="72686EF0"/>
    <w:lvl w:ilvl="0" w:tplc="73D2BC82">
      <w:start w:val="2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1A827E0"/>
    <w:multiLevelType w:val="hybridMultilevel"/>
    <w:tmpl w:val="234C8D4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BCB07EF"/>
    <w:multiLevelType w:val="hybridMultilevel"/>
    <w:tmpl w:val="16204B0A"/>
    <w:lvl w:ilvl="0" w:tplc="C95EBA10">
      <w:start w:val="1"/>
      <w:numFmt w:val="bullet"/>
      <w:lvlText w:val=""/>
      <w:lvlJc w:val="left"/>
      <w:pPr>
        <w:ind w:left="17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4CC0D0C"/>
    <w:multiLevelType w:val="hybridMultilevel"/>
    <w:tmpl w:val="842294EE"/>
    <w:lvl w:ilvl="0" w:tplc="960EFE40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7EA1A4A"/>
    <w:multiLevelType w:val="hybridMultilevel"/>
    <w:tmpl w:val="93F811C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BF81EA0"/>
    <w:multiLevelType w:val="hybridMultilevel"/>
    <w:tmpl w:val="49CA6338"/>
    <w:lvl w:ilvl="0" w:tplc="C95EBA10">
      <w:start w:val="1"/>
      <w:numFmt w:val="bullet"/>
      <w:lvlText w:val="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"/>
  </w:num>
  <w:num w:numId="5">
    <w:abstractNumId w:val="18"/>
  </w:num>
  <w:num w:numId="6">
    <w:abstractNumId w:val="13"/>
  </w:num>
  <w:num w:numId="7">
    <w:abstractNumId w:val="5"/>
  </w:num>
  <w:num w:numId="8">
    <w:abstractNumId w:val="21"/>
  </w:num>
  <w:num w:numId="9">
    <w:abstractNumId w:val="15"/>
  </w:num>
  <w:num w:numId="10">
    <w:abstractNumId w:val="24"/>
  </w:num>
  <w:num w:numId="11">
    <w:abstractNumId w:val="3"/>
  </w:num>
  <w:num w:numId="12">
    <w:abstractNumId w:val="21"/>
  </w:num>
  <w:num w:numId="13">
    <w:abstractNumId w:val="4"/>
  </w:num>
  <w:num w:numId="14">
    <w:abstractNumId w:val="7"/>
  </w:num>
  <w:num w:numId="15">
    <w:abstractNumId w:val="0"/>
  </w:num>
  <w:num w:numId="16">
    <w:abstractNumId w:val="19"/>
  </w:num>
  <w:num w:numId="17">
    <w:abstractNumId w:val="10"/>
  </w:num>
  <w:num w:numId="18">
    <w:abstractNumId w:val="2"/>
  </w:num>
  <w:num w:numId="19">
    <w:abstractNumId w:val="20"/>
  </w:num>
  <w:num w:numId="20">
    <w:abstractNumId w:val="22"/>
  </w:num>
  <w:num w:numId="21">
    <w:abstractNumId w:val="16"/>
  </w:num>
  <w:num w:numId="22">
    <w:abstractNumId w:val="12"/>
  </w:num>
  <w:num w:numId="23">
    <w:abstractNumId w:val="6"/>
  </w:num>
  <w:num w:numId="24">
    <w:abstractNumId w:val="23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27"/>
    <w:rsid w:val="000331CF"/>
    <w:rsid w:val="0005633A"/>
    <w:rsid w:val="00056677"/>
    <w:rsid w:val="000655BC"/>
    <w:rsid w:val="001025E9"/>
    <w:rsid w:val="00110DE1"/>
    <w:rsid w:val="00116B2E"/>
    <w:rsid w:val="001211D5"/>
    <w:rsid w:val="001215A1"/>
    <w:rsid w:val="0013726C"/>
    <w:rsid w:val="00193261"/>
    <w:rsid w:val="001A442B"/>
    <w:rsid w:val="001B1A2D"/>
    <w:rsid w:val="00233270"/>
    <w:rsid w:val="00245417"/>
    <w:rsid w:val="002500AE"/>
    <w:rsid w:val="00251120"/>
    <w:rsid w:val="002823B9"/>
    <w:rsid w:val="002A56FD"/>
    <w:rsid w:val="00317A3A"/>
    <w:rsid w:val="00384AFC"/>
    <w:rsid w:val="00397986"/>
    <w:rsid w:val="003B760B"/>
    <w:rsid w:val="003D1625"/>
    <w:rsid w:val="003E00FA"/>
    <w:rsid w:val="003E43B2"/>
    <w:rsid w:val="003F5F64"/>
    <w:rsid w:val="004348DC"/>
    <w:rsid w:val="00447CA1"/>
    <w:rsid w:val="00460B85"/>
    <w:rsid w:val="004778D8"/>
    <w:rsid w:val="0048248A"/>
    <w:rsid w:val="004C0146"/>
    <w:rsid w:val="004C4A5E"/>
    <w:rsid w:val="00502974"/>
    <w:rsid w:val="005033E0"/>
    <w:rsid w:val="00532CBA"/>
    <w:rsid w:val="00535985"/>
    <w:rsid w:val="00553307"/>
    <w:rsid w:val="005611E0"/>
    <w:rsid w:val="00565C03"/>
    <w:rsid w:val="005673BB"/>
    <w:rsid w:val="005703A5"/>
    <w:rsid w:val="00573EDB"/>
    <w:rsid w:val="00576600"/>
    <w:rsid w:val="00592D56"/>
    <w:rsid w:val="005955A5"/>
    <w:rsid w:val="005965EA"/>
    <w:rsid w:val="005B00EA"/>
    <w:rsid w:val="005B21A9"/>
    <w:rsid w:val="005E03B4"/>
    <w:rsid w:val="00631C53"/>
    <w:rsid w:val="006435BD"/>
    <w:rsid w:val="00647168"/>
    <w:rsid w:val="00647A07"/>
    <w:rsid w:val="00647B09"/>
    <w:rsid w:val="00657E28"/>
    <w:rsid w:val="00657FD9"/>
    <w:rsid w:val="00671441"/>
    <w:rsid w:val="006855AB"/>
    <w:rsid w:val="0069679A"/>
    <w:rsid w:val="006B69FF"/>
    <w:rsid w:val="006F02B5"/>
    <w:rsid w:val="006F0A48"/>
    <w:rsid w:val="0070157D"/>
    <w:rsid w:val="00716F22"/>
    <w:rsid w:val="007340EA"/>
    <w:rsid w:val="00753BB9"/>
    <w:rsid w:val="00787A17"/>
    <w:rsid w:val="007908AD"/>
    <w:rsid w:val="007B1484"/>
    <w:rsid w:val="007B59D2"/>
    <w:rsid w:val="007C5A2D"/>
    <w:rsid w:val="007D00C1"/>
    <w:rsid w:val="00810AB4"/>
    <w:rsid w:val="00817B06"/>
    <w:rsid w:val="00840357"/>
    <w:rsid w:val="008456CF"/>
    <w:rsid w:val="008675BF"/>
    <w:rsid w:val="00871A8C"/>
    <w:rsid w:val="00904C34"/>
    <w:rsid w:val="00905AC7"/>
    <w:rsid w:val="00926FF5"/>
    <w:rsid w:val="00933F27"/>
    <w:rsid w:val="00942897"/>
    <w:rsid w:val="0094701C"/>
    <w:rsid w:val="00950E7D"/>
    <w:rsid w:val="009535F5"/>
    <w:rsid w:val="00976650"/>
    <w:rsid w:val="00992A70"/>
    <w:rsid w:val="009943D1"/>
    <w:rsid w:val="009971B4"/>
    <w:rsid w:val="009A1B91"/>
    <w:rsid w:val="009B5747"/>
    <w:rsid w:val="009C7BA0"/>
    <w:rsid w:val="009D21C4"/>
    <w:rsid w:val="00A01EEC"/>
    <w:rsid w:val="00A15B86"/>
    <w:rsid w:val="00A2136E"/>
    <w:rsid w:val="00A32E9C"/>
    <w:rsid w:val="00A40457"/>
    <w:rsid w:val="00A413E0"/>
    <w:rsid w:val="00A50CFB"/>
    <w:rsid w:val="00AA100D"/>
    <w:rsid w:val="00AA52F2"/>
    <w:rsid w:val="00B015D2"/>
    <w:rsid w:val="00B13763"/>
    <w:rsid w:val="00B13B46"/>
    <w:rsid w:val="00B47F03"/>
    <w:rsid w:val="00B717DD"/>
    <w:rsid w:val="00B81EAA"/>
    <w:rsid w:val="00B91877"/>
    <w:rsid w:val="00BB2ECE"/>
    <w:rsid w:val="00BD2790"/>
    <w:rsid w:val="00BE0AAB"/>
    <w:rsid w:val="00BE11F6"/>
    <w:rsid w:val="00C805D4"/>
    <w:rsid w:val="00C864F7"/>
    <w:rsid w:val="00C87A25"/>
    <w:rsid w:val="00C91FB7"/>
    <w:rsid w:val="00CC3821"/>
    <w:rsid w:val="00CC4647"/>
    <w:rsid w:val="00CE71C3"/>
    <w:rsid w:val="00D16D6D"/>
    <w:rsid w:val="00D35DF6"/>
    <w:rsid w:val="00D4422D"/>
    <w:rsid w:val="00D5197F"/>
    <w:rsid w:val="00D578DD"/>
    <w:rsid w:val="00D61902"/>
    <w:rsid w:val="00D8274A"/>
    <w:rsid w:val="00DE5E12"/>
    <w:rsid w:val="00E0375F"/>
    <w:rsid w:val="00E13E09"/>
    <w:rsid w:val="00E14021"/>
    <w:rsid w:val="00E257D2"/>
    <w:rsid w:val="00E307AE"/>
    <w:rsid w:val="00E415BF"/>
    <w:rsid w:val="00E440D0"/>
    <w:rsid w:val="00E75922"/>
    <w:rsid w:val="00EA3218"/>
    <w:rsid w:val="00EB79DB"/>
    <w:rsid w:val="00F02E4C"/>
    <w:rsid w:val="00F10305"/>
    <w:rsid w:val="00F53F40"/>
    <w:rsid w:val="00F86090"/>
    <w:rsid w:val="00FA65C1"/>
    <w:rsid w:val="00FB4833"/>
    <w:rsid w:val="00FE2229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C4522B"/>
  <w15:docId w15:val="{AB3EB86A-7503-4C7A-8C65-5F53E3EA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3F2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5D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C014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7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6600"/>
  </w:style>
  <w:style w:type="paragraph" w:styleId="Fuzeile">
    <w:name w:val="footer"/>
    <w:basedOn w:val="Standard"/>
    <w:link w:val="FuzeileZchn"/>
    <w:uiPriority w:val="99"/>
    <w:unhideWhenUsed/>
    <w:rsid w:val="0057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66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60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14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14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14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14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d.rlp.de/de/themen/foerderungen/in-der-landwirtschaft-agrarfoerderungen/beratung-in-der-landwirtschaf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ndesrecht.rlp.de/jportal/portal/t/m4t/page/bsrlpprod.psml?doc.hl=1&amp;doc.id=VVRP-VVRP000001780&amp;documentnumber=1&amp;numberofresults=3&amp;showdoccase=1&amp;doc.part=F&amp;paramfromHL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d.rlp.de/de/themen/foerderungen/in-der-landwirtschaft-agrarfoerderungen/beratung-in-der-landwirtschaf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02DC-BD44-4A81-9AB6-56F275A7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Cleres-Thein, Edith (MULEWF)</dc:creator>
  <cp:lastModifiedBy>Konder, Dagmar (ADD)</cp:lastModifiedBy>
  <cp:revision>3</cp:revision>
  <cp:lastPrinted>2024-04-29T07:58:00Z</cp:lastPrinted>
  <dcterms:created xsi:type="dcterms:W3CDTF">2024-04-30T09:50:00Z</dcterms:created>
  <dcterms:modified xsi:type="dcterms:W3CDTF">2024-04-30T10:50:00Z</dcterms:modified>
</cp:coreProperties>
</file>