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7163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  <w:b/>
        </w:rPr>
      </w:pPr>
    </w:p>
    <w:p w14:paraId="34BFA414" w14:textId="77777777" w:rsidR="0035782D" w:rsidRDefault="0035782D">
      <w:pPr>
        <w:pStyle w:val="berschrift1"/>
        <w:jc w:val="right"/>
      </w:pPr>
      <w:r>
        <w:t>Anlage 8.4</w:t>
      </w:r>
    </w:p>
    <w:p w14:paraId="37066730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  <w:b/>
        </w:rPr>
      </w:pPr>
    </w:p>
    <w:p w14:paraId="0BB160B3" w14:textId="77777777" w:rsidR="0035782D" w:rsidRDefault="0035782D">
      <w:pPr>
        <w:pStyle w:val="berschrift2"/>
        <w:jc w:val="center"/>
        <w:rPr>
          <w:u w:val="single"/>
        </w:rPr>
      </w:pPr>
      <w:r>
        <w:rPr>
          <w:u w:val="single"/>
        </w:rPr>
        <w:t>Umfang und Gliederung des „Modernisierungsgutachtens“</w:t>
      </w:r>
    </w:p>
    <w:p w14:paraId="2ED778B6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</w:p>
    <w:p w14:paraId="1B3EB51D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</w:p>
    <w:p w14:paraId="4FB6C897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>1.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>Bestandsaufnahme</w:t>
      </w:r>
    </w:p>
    <w:p w14:paraId="323A2565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</w:p>
    <w:p w14:paraId="7BB953AD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Standort des Gebäudes und seine baugeschichtlichen sowie städtebaulichen</w:t>
      </w:r>
    </w:p>
    <w:p w14:paraId="0FCC18B3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Zusammenhänge entsprechend städtebaulicher Planung</w:t>
      </w:r>
    </w:p>
    <w:p w14:paraId="23DC4074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1.2</w:t>
      </w:r>
      <w:r>
        <w:rPr>
          <w:rFonts w:ascii="Arial" w:hAnsi="Arial"/>
        </w:rPr>
        <w:tab/>
        <w:t>Bestandsaufnahme des Gebäudes in geeignetem Maßstab</w:t>
      </w:r>
    </w:p>
    <w:p w14:paraId="53A1692C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1.3</w:t>
      </w:r>
      <w:r>
        <w:rPr>
          <w:rFonts w:ascii="Arial" w:hAnsi="Arial"/>
        </w:rPr>
        <w:tab/>
        <w:t xml:space="preserve">Ergänzende Erfassung von Material, Statik, Baugestaltung (Beschreibung, Skizzen,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Fotos)</w:t>
      </w:r>
    </w:p>
    <w:p w14:paraId="724C9E50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1.4</w:t>
      </w:r>
      <w:r>
        <w:rPr>
          <w:rFonts w:ascii="Arial" w:hAnsi="Arial"/>
        </w:rPr>
        <w:tab/>
        <w:t>Erfassung und Darstellung wichtiger früherer Bauzustände</w:t>
      </w:r>
    </w:p>
    <w:p w14:paraId="00626165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1.5</w:t>
      </w:r>
      <w:r>
        <w:rPr>
          <w:rFonts w:ascii="Arial" w:hAnsi="Arial"/>
        </w:rPr>
        <w:tab/>
        <w:t>Erfassung und Darstellung der baulichen Mängel (bauteilbezogen)</w:t>
      </w:r>
    </w:p>
    <w:p w14:paraId="593F1CC2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</w:p>
    <w:p w14:paraId="653F19BD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>2.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>Bewertung nach Zielen und Zwecken der Gesamtmaßnahme</w:t>
      </w:r>
    </w:p>
    <w:p w14:paraId="40CB5907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</w:p>
    <w:p w14:paraId="54233490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2.1</w:t>
      </w:r>
      <w:r>
        <w:rPr>
          <w:rFonts w:ascii="Arial" w:hAnsi="Arial"/>
        </w:rPr>
        <w:tab/>
        <w:t>Mängel i.S.v. § 177 Abs. 3 BauGB</w:t>
      </w:r>
    </w:p>
    <w:p w14:paraId="65A45C0A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2.1.1 Beeinträchtigung der bisherigen Nutzung </w:t>
      </w:r>
    </w:p>
    <w:p w14:paraId="6D6BE2C4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2.1.2</w:t>
      </w:r>
      <w:r>
        <w:rPr>
          <w:rFonts w:ascii="Arial" w:hAnsi="Arial"/>
        </w:rPr>
        <w:tab/>
        <w:t>Beeinträchtigung des Straßen- und Ortsbildes</w:t>
      </w:r>
    </w:p>
    <w:p w14:paraId="5EE77210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2.1.3</w:t>
      </w:r>
      <w:r>
        <w:rPr>
          <w:rFonts w:ascii="Arial" w:hAnsi="Arial"/>
        </w:rPr>
        <w:tab/>
        <w:t>Erneuerungsnotwendigkeit</w:t>
      </w:r>
    </w:p>
    <w:p w14:paraId="700FA933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2.2</w:t>
      </w:r>
      <w:r>
        <w:rPr>
          <w:rFonts w:ascii="Arial" w:hAnsi="Arial"/>
        </w:rPr>
        <w:tab/>
        <w:t>Missstände, insbesondere ungesunde Wohn- und Arbeitsverhältnisse i.S.v. § 177</w:t>
      </w:r>
    </w:p>
    <w:p w14:paraId="23DAFE1E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Abs. 2 BauGB</w:t>
      </w:r>
    </w:p>
    <w:p w14:paraId="235390A7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2.3</w:t>
      </w:r>
      <w:r>
        <w:rPr>
          <w:rFonts w:ascii="Arial" w:hAnsi="Arial"/>
        </w:rPr>
        <w:tab/>
        <w:t>Bausubstanz</w:t>
      </w:r>
    </w:p>
    <w:p w14:paraId="57E122A5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2.4</w:t>
      </w:r>
      <w:r>
        <w:rPr>
          <w:rFonts w:ascii="Arial" w:hAnsi="Arial"/>
        </w:rPr>
        <w:tab/>
        <w:t>Wiederverwendung von Bauteilen</w:t>
      </w:r>
    </w:p>
    <w:p w14:paraId="72FAF4D2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2.5 </w:t>
      </w:r>
      <w:r>
        <w:rPr>
          <w:rFonts w:ascii="Arial" w:hAnsi="Arial"/>
        </w:rPr>
        <w:tab/>
        <w:t>Eignung für bestimmte Nutzungen</w:t>
      </w:r>
    </w:p>
    <w:p w14:paraId="208F172C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2.6</w:t>
      </w:r>
      <w:r>
        <w:rPr>
          <w:rFonts w:ascii="Arial" w:hAnsi="Arial"/>
        </w:rPr>
        <w:tab/>
        <w:t>Instandsetzungs- und Modernisierungswürdigkeit</w:t>
      </w:r>
    </w:p>
    <w:p w14:paraId="2C78C8A1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</w:p>
    <w:p w14:paraId="30B59391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>3.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>Planungsvorschläge</w:t>
      </w:r>
    </w:p>
    <w:p w14:paraId="40EAFBAA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</w:p>
    <w:p w14:paraId="11C5885F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3.1</w:t>
      </w:r>
      <w:r>
        <w:rPr>
          <w:rFonts w:ascii="Arial" w:hAnsi="Arial"/>
        </w:rPr>
        <w:tab/>
        <w:t>Vorentwurfsskizzen, ggf. Alternativen</w:t>
      </w:r>
    </w:p>
    <w:p w14:paraId="620D4F4B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3.2</w:t>
      </w:r>
      <w:r>
        <w:rPr>
          <w:rFonts w:ascii="Arial" w:hAnsi="Arial"/>
        </w:rPr>
        <w:tab/>
        <w:t>Bauaufwand und Nutzwert</w:t>
      </w:r>
    </w:p>
    <w:p w14:paraId="33A7E596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3.3</w:t>
      </w:r>
      <w:r>
        <w:rPr>
          <w:rFonts w:ascii="Arial" w:hAnsi="Arial"/>
        </w:rPr>
        <w:tab/>
        <w:t>Ablaufplan bei Durchführungsstufen</w:t>
      </w:r>
    </w:p>
    <w:p w14:paraId="4B1F7033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3.4</w:t>
      </w:r>
      <w:r>
        <w:rPr>
          <w:rFonts w:ascii="Arial" w:hAnsi="Arial"/>
        </w:rPr>
        <w:tab/>
        <w:t>Kostenermittlung</w:t>
      </w:r>
    </w:p>
    <w:p w14:paraId="10204406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3.5</w:t>
      </w:r>
      <w:r>
        <w:rPr>
          <w:rFonts w:ascii="Arial" w:hAnsi="Arial"/>
        </w:rPr>
        <w:tab/>
        <w:t>Denkmalpflegerische Zielstellung bei Denkmalen</w:t>
      </w:r>
    </w:p>
    <w:p w14:paraId="40DE5872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</w:p>
    <w:p w14:paraId="2CF3E515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>4.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>Finanzierung</w:t>
      </w:r>
    </w:p>
    <w:p w14:paraId="23A81E0A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</w:p>
    <w:p w14:paraId="03951D15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4</w:t>
      </w:r>
      <w:r>
        <w:rPr>
          <w:rFonts w:ascii="Arial" w:hAnsi="Arial"/>
          <w:color w:val="000000"/>
        </w:rPr>
        <w:t>.1.1 Sofern erforderlich, Kostenerstattungsbetragsberechnung</w:t>
      </w:r>
      <w:r>
        <w:rPr>
          <w:rFonts w:ascii="Arial" w:hAnsi="Arial"/>
        </w:rPr>
        <w:t xml:space="preserve">  </w:t>
      </w:r>
    </w:p>
    <w:p w14:paraId="0A8971FE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4.1.2 Restnutzungsdauer</w:t>
      </w:r>
    </w:p>
    <w:p w14:paraId="55E6DC10" w14:textId="77777777" w:rsidR="0035782D" w:rsidRDefault="0035782D">
      <w:pPr>
        <w:tabs>
          <w:tab w:val="left" w:pos="0"/>
          <w:tab w:val="left" w:pos="283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  <w:r>
        <w:rPr>
          <w:rFonts w:ascii="Arial" w:hAnsi="Arial"/>
        </w:rPr>
        <w:t>4.1.3 Kosten eines vergleichbaren Neubaus auf demselben Grundstück</w:t>
      </w:r>
    </w:p>
    <w:p w14:paraId="149533E6" w14:textId="77777777" w:rsidR="0035782D" w:rsidRDefault="0035782D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</w:tabs>
        <w:spacing w:line="330" w:lineRule="atLeast"/>
        <w:jc w:val="both"/>
        <w:rPr>
          <w:rFonts w:ascii="Arial" w:hAnsi="Arial"/>
        </w:rPr>
      </w:pPr>
    </w:p>
    <w:p w14:paraId="3AF4A91D" w14:textId="77777777" w:rsidR="0035782D" w:rsidRDefault="0035782D">
      <w:pPr>
        <w:jc w:val="both"/>
        <w:rPr>
          <w:rFonts w:ascii="Arial" w:hAnsi="Arial"/>
        </w:rPr>
      </w:pPr>
    </w:p>
    <w:sectPr w:rsidR="00000000">
      <w:type w:val="continuous"/>
      <w:pgSz w:w="11906" w:h="16838" w:code="9"/>
      <w:pgMar w:top="357" w:right="851" w:bottom="369" w:left="1134" w:header="567" w:footer="28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52F60"/>
    <w:multiLevelType w:val="multilevel"/>
    <w:tmpl w:val="7922AA2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258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F9"/>
    <w:rsid w:val="0035782D"/>
    <w:rsid w:val="009A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29ADA1"/>
  <w15:chartTrackingRefBased/>
  <w15:docId w15:val="{B8FBAA96-7822-47E1-8E55-D2CBEA27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283"/>
        <w:tab w:val="left" w:pos="566"/>
        <w:tab w:val="left" w:pos="849"/>
        <w:tab w:val="left" w:pos="1132"/>
        <w:tab w:val="left" w:pos="1416"/>
        <w:tab w:val="left" w:pos="1699"/>
        <w:tab w:val="left" w:pos="1982"/>
        <w:tab w:val="left" w:pos="2265"/>
        <w:tab w:val="left" w:pos="2548"/>
        <w:tab w:val="left" w:pos="2832"/>
        <w:tab w:val="left" w:pos="3115"/>
        <w:tab w:val="left" w:pos="3398"/>
        <w:tab w:val="left" w:pos="3681"/>
        <w:tab w:val="left" w:pos="3964"/>
        <w:tab w:val="left" w:pos="4248"/>
        <w:tab w:val="left" w:pos="4531"/>
        <w:tab w:val="left" w:pos="4814"/>
        <w:tab w:val="left" w:pos="5097"/>
        <w:tab w:val="left" w:pos="5380"/>
        <w:tab w:val="left" w:pos="5664"/>
        <w:tab w:val="left" w:pos="5947"/>
        <w:tab w:val="left" w:pos="6230"/>
        <w:tab w:val="left" w:pos="6513"/>
        <w:tab w:val="left" w:pos="6796"/>
        <w:tab w:val="left" w:pos="7080"/>
        <w:tab w:val="left" w:pos="7363"/>
        <w:tab w:val="left" w:pos="7646"/>
        <w:tab w:val="left" w:pos="7929"/>
        <w:tab w:val="left" w:pos="8212"/>
        <w:tab w:val="left" w:pos="8496"/>
        <w:tab w:val="left" w:pos="8779"/>
        <w:tab w:val="left" w:pos="9062"/>
      </w:tabs>
      <w:spacing w:line="330" w:lineRule="atLeast"/>
      <w:jc w:val="both"/>
      <w:outlineLvl w:val="0"/>
    </w:pPr>
    <w:rPr>
      <w:rFonts w:ascii="Arial" w:hAnsi="Arial"/>
      <w:b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0"/>
        <w:tab w:val="left" w:pos="283"/>
        <w:tab w:val="left" w:pos="566"/>
        <w:tab w:val="left" w:pos="849"/>
        <w:tab w:val="left" w:pos="1132"/>
        <w:tab w:val="left" w:pos="1416"/>
        <w:tab w:val="left" w:pos="1699"/>
        <w:tab w:val="left" w:pos="1982"/>
        <w:tab w:val="left" w:pos="2265"/>
        <w:tab w:val="left" w:pos="2548"/>
        <w:tab w:val="left" w:pos="2832"/>
        <w:tab w:val="left" w:pos="3115"/>
        <w:tab w:val="left" w:pos="3398"/>
        <w:tab w:val="left" w:pos="3681"/>
        <w:tab w:val="left" w:pos="3964"/>
        <w:tab w:val="left" w:pos="4248"/>
        <w:tab w:val="left" w:pos="4531"/>
        <w:tab w:val="left" w:pos="4814"/>
        <w:tab w:val="left" w:pos="5097"/>
        <w:tab w:val="left" w:pos="5380"/>
        <w:tab w:val="left" w:pos="5664"/>
        <w:tab w:val="left" w:pos="5947"/>
        <w:tab w:val="left" w:pos="6230"/>
        <w:tab w:val="left" w:pos="6513"/>
        <w:tab w:val="left" w:pos="6796"/>
        <w:tab w:val="left" w:pos="7080"/>
        <w:tab w:val="left" w:pos="7363"/>
        <w:tab w:val="left" w:pos="7646"/>
        <w:tab w:val="left" w:pos="7929"/>
        <w:tab w:val="left" w:pos="8212"/>
        <w:tab w:val="left" w:pos="8496"/>
        <w:tab w:val="left" w:pos="8779"/>
        <w:tab w:val="left" w:pos="9062"/>
      </w:tabs>
      <w:spacing w:line="330" w:lineRule="atLeast"/>
      <w:jc w:val="both"/>
      <w:outlineLvl w:val="1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8</vt:lpstr>
    </vt:vector>
  </TitlesOfParts>
  <Company>ADD (Trier)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8</dc:title>
  <dc:subject/>
  <dc:creator>mathony</dc:creator>
  <cp:keywords/>
  <cp:lastModifiedBy>Rauschenberg, Nele (ADD)</cp:lastModifiedBy>
  <cp:revision>2</cp:revision>
  <cp:lastPrinted>2005-04-05T13:03:00Z</cp:lastPrinted>
  <dcterms:created xsi:type="dcterms:W3CDTF">2026-01-08T14:23:00Z</dcterms:created>
  <dcterms:modified xsi:type="dcterms:W3CDTF">2026-01-08T14:23:00Z</dcterms:modified>
</cp:coreProperties>
</file>